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120"/>
      </w:pPr>
      <w:r>
        <w:rPr>
          <w:rFonts w:ascii="Arial" w:hAnsi="Arial"/>
          <w:b/>
          <w:color w:val="8B6723"/>
          <w:sz w:val="17"/>
        </w:rPr>
        <w:t>RISE.SK  |  PRACTICAL INPUT FOR A PROPOSAL AND CONTRACT PREPARATION</w:t>
      </w:r>
    </w:p>
    <w:p>
      <w:pPr>
        <w:spacing w:after="100"/>
      </w:pPr>
      <w:r>
        <w:rPr>
          <w:rFonts w:ascii="Arial" w:hAnsi="Arial"/>
          <w:b/>
          <w:color w:val="181611"/>
          <w:sz w:val="56"/>
        </w:rPr>
        <w:t>Project brief</w:t>
      </w:r>
    </w:p>
    <w:p>
      <w:pPr>
        <w:spacing w:after="160" w:line="252" w:lineRule="auto"/>
      </w:pPr>
      <w:r>
        <w:rPr>
          <w:rFonts w:ascii="Arial" w:hAnsi="Arial"/>
          <w:color w:val="6B665D"/>
          <w:sz w:val="23"/>
        </w:rPr>
        <w:t>A universal editable template for software, AI, automation, UX/UI, marketing, audit, and advisory work</w:t>
      </w:r>
    </w:p>
    <w:p>
      <w:pPr>
        <w:spacing w:after="160"/>
        <w:pBdr>
          <w:bottom w:val="single" w:sz="10" w:space="4" w:color="DAB549"/>
        </w:pBdr>
      </w:pPr>
      <w:r>
        <w:rPr>
          <w:rFonts w:ascii="Arial" w:hAnsi="Arial"/>
          <w:b/>
          <w:color w:val="8B6723"/>
          <w:sz w:val="16"/>
        </w:rPr>
        <w:t>RISE-PB-EN@1.0</w:t>
      </w:r>
    </w:p>
    <w:tbl>
      <w:tblPr>
        <w:tblW w:type="auto" w:w="0"/>
        <w:tblLook w:firstColumn="1" w:firstRow="1" w:lastColumn="0" w:lastRow="0" w:noHBand="0" w:noVBand="1" w:val="04A0"/>
        <w:jc w:val="center"/>
        <w:tblLayout w:type="fixed"/>
      </w:tblPr>
      <w:tblGrid>
        <w:gridCol w:w="9638"/>
      </w:tblGrid>
      <w:tr>
        <w:tc>
          <w:tcPr>
            <w:tcW w:type="dxa" w:w="9638"/>
            <w:shd w:fill="F1E8CF"/>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Purpose of this document</w:t>
            </w:r>
          </w:p>
          <w:p>
            <w:pPr>
              <w:pStyle w:val="RiseSmall"/>
              <w:spacing w:after="0"/>
            </w:pPr>
            <w:r>
              <w:t>This brief is an input for assessment, a proposal, and contract preparation. It is not a standalone contract or legal advice. If it will be a contract attachment, identify it by name, version, and date, list it in the attachment register, and have the contract wording reviewed by a lawyer.</w:t>
            </w:r>
          </w:p>
        </w:tc>
      </w:tr>
    </w:tbl>
    <w:p>
      <w:pPr>
        <w:spacing w:after="0"/>
      </w:pPr>
    </w:p>
    <w:p>
      <w:pPr>
        <w:pStyle w:val="Heading2"/>
      </w:pPr>
      <w:r>
        <w:t>How to complete the template</w:t>
      </w:r>
    </w:p>
    <w:p>
      <w:pPr>
        <w:pStyle w:val="RiseSmall"/>
        <w:spacing w:after="40"/>
        <w:ind w:left="255" w:hanging="198"/>
      </w:pPr>
      <w:r>
        <w:rPr>
          <w:rFonts w:ascii="Arial" w:hAnsi="Arial"/>
          <w:b/>
          <w:color w:val="8B6723"/>
        </w:rPr>
        <w:t xml:space="preserve">•  </w:t>
      </w:r>
      <w:r>
        <w:rPr>
          <w:rFonts w:ascii="Arial" w:hAnsi="Arial"/>
          <w:color w:val="302D27"/>
          <w:sz w:val="16"/>
        </w:rPr>
        <w:t>Complete pages 1 and 2 first. The quick input takes about 10 minutes.</w:t>
      </w:r>
    </w:p>
    <w:p>
      <w:pPr>
        <w:pStyle w:val="RiseSmall"/>
        <w:spacing w:after="40"/>
        <w:ind w:left="255" w:hanging="198"/>
      </w:pPr>
      <w:r>
        <w:rPr>
          <w:rFonts w:ascii="Arial" w:hAnsi="Arial"/>
          <w:b/>
          <w:color w:val="8B6723"/>
        </w:rPr>
        <w:t xml:space="preserve">•  </w:t>
      </w:r>
      <w:r>
        <w:rPr>
          <w:rFonts w:ascii="Arial" w:hAnsi="Arial"/>
          <w:color w:val="302D27"/>
          <w:sz w:val="16"/>
        </w:rPr>
        <w:t>Then complete the required and important chapters. A full brief usually takes 30 to 45 minutes.</w:t>
      </w:r>
    </w:p>
    <w:p>
      <w:pPr>
        <w:pStyle w:val="RiseSmall"/>
        <w:spacing w:after="40"/>
        <w:ind w:left="255" w:hanging="198"/>
      </w:pPr>
      <w:r>
        <w:rPr>
          <w:rFonts w:ascii="Arial" w:hAnsi="Arial"/>
          <w:b/>
          <w:color w:val="8B6723"/>
        </w:rPr>
        <w:t xml:space="preserve">•  </w:t>
      </w:r>
      <w:r>
        <w:rPr>
          <w:rFonts w:ascii="Arial" w:hAnsi="Arial"/>
          <w:color w:val="302D27"/>
          <w:sz w:val="16"/>
        </w:rPr>
        <w:t>If you do not know an answer, write “unknown / open”. Do not present an assumption as fact.</w:t>
      </w:r>
    </w:p>
    <w:p>
      <w:pPr>
        <w:pStyle w:val="RiseSmall"/>
        <w:spacing w:after="40"/>
        <w:ind w:left="255" w:hanging="198"/>
      </w:pPr>
      <w:r>
        <w:rPr>
          <w:rFonts w:ascii="Arial" w:hAnsi="Arial"/>
          <w:b/>
          <w:color w:val="8B6723"/>
        </w:rPr>
        <w:t xml:space="preserve">•  </w:t>
      </w:r>
      <w:r>
        <w:rPr>
          <w:rFonts w:ascii="Arial" w:hAnsi="Arial"/>
          <w:color w:val="302D27"/>
          <w:sz w:val="16"/>
        </w:rPr>
        <w:t>Describe the problem, evidence, and desired outcome. You do not need to design the technical solution.</w:t>
      </w:r>
    </w:p>
    <w:p>
      <w:pPr>
        <w:pStyle w:val="RiseSmall"/>
        <w:spacing w:after="40"/>
        <w:ind w:left="255" w:hanging="198"/>
      </w:pPr>
      <w:r>
        <w:rPr>
          <w:rFonts w:ascii="Arial" w:hAnsi="Arial"/>
          <w:b/>
          <w:color w:val="8B6723"/>
        </w:rPr>
        <w:t xml:space="preserve">•  </w:t>
      </w:r>
      <w:r>
        <w:rPr>
          <w:rFonts w:ascii="Arial" w:hAnsi="Arial"/>
          <w:color w:val="302D27"/>
          <w:sz w:val="16"/>
        </w:rPr>
        <w:t>Mark a box by inserting X. You may delete optional modules that do not apply.</w:t>
      </w:r>
    </w:p>
    <w:p>
      <w:pPr>
        <w:pStyle w:val="Heading2"/>
      </w:pPr>
      <w:r>
        <w:t>Importance of sections</w:t>
      </w:r>
    </w:p>
    <w:tbl>
      <w:tblPr>
        <w:tblW w:type="auto" w:w="0"/>
        <w:tblLook w:firstColumn="1" w:firstRow="1" w:lastColumn="0" w:lastRow="0" w:noHBand="0" w:noVBand="1" w:val="04A0"/>
        <w:jc w:val="center"/>
        <w:tblLayout w:type="fixed"/>
      </w:tblPr>
      <w:tblGrid>
        <w:gridCol w:w="4819"/>
        <w:gridCol w:w="4819"/>
      </w:tblGrid>
      <w:tr>
        <w:trPr>
          <w:cantSplit/>
        </w:trPr>
        <w:tc>
          <w:tcPr>
            <w:tcW w:type="dxa" w:w="2211"/>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rPr>
                <w:rFonts w:ascii="Arial" w:hAnsi="Arial"/>
                <w:b/>
                <w:color w:val="8B6723"/>
                <w:sz w:val="16"/>
              </w:rPr>
              <w:t>REQUIRED</w:t>
            </w:r>
          </w:p>
        </w:tc>
        <w:tc>
          <w:tcPr>
            <w:tcW w:type="dxa" w:w="7426"/>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Answer or state “unknown / open”.</w:t>
            </w:r>
          </w:p>
        </w:tc>
      </w:tr>
      <w:tr>
        <w:trPr>
          <w:cantSplit/>
        </w:trPr>
        <w:tc>
          <w:tcPr>
            <w:tcW w:type="dxa" w:w="2211"/>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rPr>
                <w:rFonts w:ascii="Arial" w:hAnsi="Arial"/>
                <w:b/>
                <w:color w:val="8B6723"/>
                <w:sz w:val="16"/>
              </w:rPr>
              <w:t>IMPORTANT</w:t>
            </w:r>
          </w:p>
        </w:tc>
        <w:tc>
          <w:tcPr>
            <w:tcW w:type="dxa" w:w="7426"/>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Materially affects price, timing, security, or risk.</w:t>
            </w:r>
          </w:p>
        </w:tc>
      </w:tr>
      <w:tr>
        <w:trPr>
          <w:cantSplit/>
        </w:trPr>
        <w:tc>
          <w:tcPr>
            <w:tcW w:type="dxa" w:w="2211"/>
            <w:shd w:fill="F6F4EF"/>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rPr>
                <w:rFonts w:ascii="Arial" w:hAnsi="Arial"/>
                <w:b/>
                <w:color w:val="6B665D"/>
                <w:sz w:val="16"/>
              </w:rPr>
              <w:t>OPTIONAL</w:t>
            </w:r>
          </w:p>
        </w:tc>
        <w:tc>
          <w:tcPr>
            <w:tcW w:type="dxa" w:w="7426"/>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Complete only when relevant to the project type.</w:t>
            </w:r>
          </w:p>
        </w:tc>
      </w:tr>
    </w:tbl>
    <w:tbl>
      <w:tblPr>
        <w:tblW w:type="auto" w:w="0"/>
        <w:tblLook w:firstColumn="1" w:firstRow="1" w:lastColumn="0" w:lastRow="0" w:noHBand="0" w:noVBand="1" w:val="04A0"/>
        <w:jc w:val="center"/>
        <w:tblLayout w:type="fixed"/>
      </w:tblPr>
      <w:tblGrid>
        <w:gridCol w:w="9638"/>
      </w:tblGrid>
      <w:tr>
        <w:tc>
          <w:tcPr>
            <w:tcW w:type="dxa" w:w="9638"/>
            <w:shd w:fill="F6E8B9"/>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Do not include sensitive secrets</w:t>
            </w:r>
          </w:p>
          <w:p>
            <w:pPr>
              <w:pStyle w:val="RiseSmall"/>
              <w:spacing w:after="0"/>
            </w:pPr>
            <w:r>
              <w:t>Do not enter passwords, API keys, full production exports, trade secrets, or identifiable personal data. State only the data category and how the material can later be shared securely. Share Figma designs and graphic assets through an invite to rise@rise.sk and include font licensing details. Grant access to third-party services through role management; never send passwords or API keys.</w:t>
            </w:r>
          </w:p>
        </w:tc>
      </w:tr>
    </w:tbl>
    <w:p>
      <w:pPr>
        <w:spacing w:after="0"/>
      </w:pPr>
    </w:p>
    <w:p>
      <w:pPr>
        <w:pStyle w:val="Heading1"/>
      </w:pPr>
      <w:r>
        <w:t>1. Document identity and status  |  REQUIRED</w:t>
      </w:r>
    </w:p>
    <w:tbl>
      <w:tblPr>
        <w:tblW w:type="auto" w:w="0"/>
        <w:tblLook w:firstColumn="1" w:firstRow="1" w:lastColumn="0" w:lastRow="0" w:noHBand="0" w:noVBand="1" w:val="04A0"/>
        <w:jc w:val="center"/>
        <w:tblLayout w:type="fixed"/>
      </w:tblPr>
      <w:tblGrid>
        <w:gridCol w:w="4819"/>
        <w:gridCol w:w="4819"/>
      </w:tblGrid>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Client and billing entity</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client"/>
                <w:tag w:val="brief.identity.client"/>
                <w:lock w:val="sdtLocked"/>
              </w:sdtPr>
              <w:sdtContent>
                <w:r>
                  <w:t xml:space="preserve">{{RISE_BRIEF_IDENTITY_CLIENT}}</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Project name or working title</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project_name"/>
                <w:tag w:val="brief.identity.project_name"/>
                <w:lock w:val="sdtLocked"/>
              </w:sdtPr>
              <w:sdtContent>
                <w:r>
                  <w:t xml:space="preserve">{{RISE_BRIEF_IDENTITY_PROJECT_NAME}}</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Brief owner and contact details</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owner"/>
                <w:tag w:val="brief.identity.owner"/>
                <w:lock w:val="sdtLocked"/>
              </w:sdtPr>
              <w:sdtContent>
                <w:r>
                  <w:t xml:space="preserve">{{RISE_BRIEF_IDENTITY_OWNER}}</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Decision maker</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decision_maker"/>
                <w:tag w:val="brief.identity.decision_maker"/>
                <w:lock w:val="sdtLocked"/>
              </w:sdtPr>
              <w:sdtContent>
                <w:r>
                  <w:t xml:space="preserve">{{RISE_BRIEF_IDENTITY_DECISION_MAKER}}</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Approver</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approver"/>
                <w:tag w:val="brief.identity.approver"/>
                <w:lock w:val="sdtLocked"/>
              </w:sdtPr>
              <w:sdtContent>
                <w:r>
                  <w:t xml:space="preserve">{{RISE_BRIEF_IDENTITY_APPROVER}}</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Document version</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document_version"/>
                <w:tag w:val="brief.identity.document_version"/>
                <w:lock w:val="sdtLocked"/>
              </w:sdtPr>
              <w:sdtContent>
                <w:r>
                  <w:t xml:space="preserve">{{RISE_BRIEF_IDENTITY_DOCUMENT_VERSION}}</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Date</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date"/>
                <w:tag w:val="brief.identity.date"/>
                <w:lock w:val="sdtLocked"/>
              </w:sdtPr>
              <w:sdtContent>
                <w:r>
                  <w:t xml:space="preserve">{{RISE_BRIEF_IDENTITY_DATE}}</w:t>
                </w:r>
              </w:sdtContent>
            </w:sdt>
          </w:p>
        </w:tc>
      </w:tr>
      <w:tr>
        <w:trPr>
          <w:cantSplit/>
        </w:trPr>
        <w:tc>
          <w:tcPr>
            <w:tcW w:type="dxa" w:w="3288"/>
            <w:shd w:fill="F7F3E8"/>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Table"/>
            </w:pPr>
            <w:r>
              <w:rPr>
                <w:rFonts w:ascii="Arial" w:hAnsi="Arial"/>
                <w:b/>
                <w:color w:val="302D27"/>
                <w:sz w:val="16"/>
              </w:rPr>
              <w:t>Status  ☐ draft   ☐ for review   ☐ approved   ☐ contract attachment</w:t>
            </w:r>
          </w:p>
        </w:tc>
        <w:tc>
          <w:tcPr>
            <w:tcW w:type="dxa" w:w="634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vAlign w:val="center"/>
          </w:tcPr>
          <w:p>
            <w:pPr>
              <w:pStyle w:val="RiseResponse"/>
            </w:pPr>
            <w:sdt>
              <w:sdtPr>
                <w:alias w:val="brief.identity.status"/>
                <w:tag w:val="brief.identity.status"/>
                <w:lock w:val="sdtLocked"/>
              </w:sdtPr>
              <w:sdtContent>
                <w:r>
                  <w:t xml:space="preserve">{{RISE_BRIEF_IDENTITY_STATUS}}</w:t>
                </w:r>
              </w:sdtContent>
            </w:sdt>
          </w:p>
        </w:tc>
      </w:tr>
    </w:tbl>
    <w:p>
      <w:r>
        <w:br w:type="page"/>
      </w:r>
    </w:p>
    <w:p>
      <w:pPr>
        <w:pStyle w:val="Heading1"/>
      </w:pPr>
      <w:r>
        <w:t>2. Quick required minimum</w:t>
      </w:r>
    </w:p>
    <w:p>
      <w:pPr>
        <w:spacing w:after="140" w:line="252" w:lineRule="auto"/>
      </w:pPr>
      <w:r>
        <w:t>This page is enough for an initial professional assessment. Mark every unanswered item as open. A concrete example is more useful than a general description.</w:t>
      </w:r>
    </w:p>
    <w:p>
      <w:pPr>
        <w:spacing w:before="100" w:after="60"/>
      </w:pPr>
      <w:r>
        <w:rPr>
          <w:rFonts w:ascii="Arial" w:hAnsi="Arial"/>
          <w:b/>
          <w:color w:val="302D27"/>
          <w:sz w:val="18"/>
        </w:rPr>
        <w:t>Project type  |  select every relevant option</w:t>
      </w:r>
    </w:p>
    <w:tbl>
      <w:tblPr>
        <w:tblW w:type="auto" w:w="0"/>
        <w:tblLook w:firstColumn="1" w:firstRow="1" w:lastColumn="0" w:lastRow="0" w:noHBand="0" w:noVBand="1" w:val="04A0"/>
        <w:jc w:val="center"/>
        <w:tblLayout w:type="fixed"/>
      </w:tblPr>
      <w:tblGrid>
        <w:gridCol w:w="4819"/>
        <w:gridCol w:w="4819"/>
      </w:tblGrid>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Custom software</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AI or automation</w:t>
            </w:r>
          </w:p>
        </w:tc>
      </w:tr>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UX/UI design</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Marketing or communications</w:t>
            </w:r>
          </w:p>
        </w:tc>
      </w:tr>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Audit or advisory</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I do not know, I need a recommendation</w:t>
            </w:r>
          </w:p>
        </w:tc>
      </w:tr>
    </w:tbl>
    <w:p>
      <w:pPr>
        <w:spacing w:before="100" w:after="60"/>
      </w:pPr>
      <w:r>
        <w:rPr>
          <w:rFonts w:ascii="Arial" w:hAnsi="Arial"/>
          <w:b/>
          <w:color w:val="302D27"/>
          <w:sz w:val="18"/>
        </w:rPr>
        <w:t>Current stage  |  select one option</w:t>
      </w:r>
    </w:p>
    <w:tbl>
      <w:tblPr>
        <w:tblW w:type="auto" w:w="0"/>
        <w:tblLook w:firstColumn="1" w:firstRow="1" w:lastColumn="0" w:lastRow="0" w:noHBand="0" w:noVBand="1" w:val="04A0"/>
        <w:jc w:val="center"/>
        <w:tblLayout w:type="fixed"/>
      </w:tblPr>
      <w:tblGrid>
        <w:gridCol w:w="4819"/>
        <w:gridCol w:w="4819"/>
      </w:tblGrid>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Idea</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Manual or partly digital process</w:t>
            </w:r>
          </w:p>
        </w:tc>
      </w:tr>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Existing product or service</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Replacement of an existing solution</w:t>
            </w:r>
          </w:p>
        </w:tc>
      </w:tr>
      <w:tr>
        <w:trPr>
          <w:cantSplit/>
        </w:trPr>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r>
              <w:t>☐  I do not know, I need a recommendation</w:t>
            </w:r>
          </w:p>
        </w:tc>
        <w:tc>
          <w:tcPr>
            <w:tcW w:type="dxa" w:w="4818"/>
            <w:tcBorders>
              <w:top w:val="single" w:sz="6" w:color="D9D4C8"/>
              <w:left w:val="single" w:sz="6" w:color="D9D4C8"/>
              <w:bottom w:val="single" w:sz="6" w:color="D9D4C8"/>
              <w:right w:val="single" w:sz="6" w:color="D9D4C8"/>
              <w:insideH w:val="single" w:sz="6" w:color="D9D4C8"/>
              <w:insideV w:val="single" w:sz="6" w:color="D9D4C8"/>
            </w:tcBorders>
            <w:tcMar>
              <w:top w:w="55" w:type="dxa"/>
              <w:start w:w="100" w:type="dxa"/>
              <w:bottom w:w="55" w:type="dxa"/>
              <w:end w:w="100" w:type="dxa"/>
            </w:tcMar>
          </w:tcPr>
          <w:p>
            <w:pPr>
              <w:pStyle w:val="RiseTable"/>
            </w:pPr>
          </w:p>
        </w:tc>
      </w:tr>
    </w:tbl>
    <w:tbl>
      <w:tblPr>
        <w:tblW w:type="auto" w:w="0"/>
        <w:tblLook w:firstColumn="1" w:firstRow="1" w:lastColumn="0" w:lastRow="0" w:noHBand="0" w:noVBand="1" w:val="04A0"/>
        <w:jc w:val="center"/>
        <w:tblLayout w:type="fixed"/>
      </w:tblPr>
      <w:tblGrid>
        <w:gridCol w:w="4819"/>
        <w:gridCol w:w="4819"/>
      </w:tblGrid>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Problem and concrete example</w:t>
            </w:r>
          </w:p>
          <w:p>
            <w:pPr>
              <w:pStyle w:val="RiseSmall"/>
            </w:pPr>
            <w:r>
              <w:t>What happens today, to whom, how often, and with what impact?</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context"/>
                <w:tag w:val="brief.quick.context"/>
                <w:lock w:val="sdtLocked"/>
              </w:sdtPr>
              <w:sdtContent>
                <w:r>
                  <w:t xml:space="preserve">{{RISE_BRIEF_QUICK_CONTEXT}}</w:t>
                </w:r>
              </w:sdtContent>
            </w:sdt>
            <w:r>
              <w:br/>
              <w:br/>
            </w:r>
          </w:p>
        </w:tc>
      </w:tr>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Desired outcome and measure</w:t>
            </w:r>
          </w:p>
          <w:p>
            <w:pPr>
              <w:pStyle w:val="RiseSmall"/>
            </w:pPr>
            <w:r>
              <w:t>What should be different, what is the baseline, and what confirms improvement?</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goal"/>
                <w:tag w:val="brief.quick.goal"/>
                <w:lock w:val="sdtLocked"/>
              </w:sdtPr>
              <w:sdtContent>
                <w:r>
                  <w:t xml:space="preserve">{{RISE_BRIEF_QUICK_GOAL}}</w:t>
                </w:r>
              </w:sdtContent>
            </w:sdt>
            <w:r>
              <w:br/>
              <w:br/>
            </w:r>
          </w:p>
        </w:tc>
      </w:tr>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Scope and explicit exclusions</w:t>
            </w:r>
          </w:p>
          <w:p>
            <w:pPr>
              <w:pStyle w:val="RiseSmall"/>
            </w:pPr>
            <w:r>
              <w:t>What must be included and what is outside the project?</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scope"/>
                <w:tag w:val="brief.quick.scope"/>
                <w:lock w:val="sdtLocked"/>
              </w:sdtPr>
              <w:sdtContent>
                <w:r>
                  <w:t xml:space="preserve">{{RISE_BRIEF_QUICK_SCOPE}}</w:t>
                </w:r>
              </w:sdtContent>
            </w:sdt>
            <w:r>
              <w:br/>
              <w:br/>
            </w:r>
          </w:p>
        </w:tc>
      </w:tr>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Budget and funding mode</w:t>
            </w:r>
          </w:p>
          <w:p>
            <w:pPr>
              <w:pStyle w:val="RiseSmall"/>
            </w:pPr>
            <w:r>
              <w:t>Approved range, indicative range, firm cap, or estimate required.</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budget"/>
                <w:tag w:val="brief.quick.budget"/>
                <w:lock w:val="sdtLocked"/>
              </w:sdtPr>
              <w:sdtContent>
                <w:r>
                  <w:t xml:space="preserve">{{RISE_BRIEF_QUICK_BUDGET}}</w:t>
                </w:r>
              </w:sdtContent>
            </w:sdt>
            <w:r>
              <w:br/>
              <w:br/>
            </w:r>
          </w:p>
        </w:tc>
      </w:tr>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Date and fixed milestone</w:t>
            </w:r>
          </w:p>
          <w:p>
            <w:pPr>
              <w:pStyle w:val="RiseSmall"/>
            </w:pPr>
            <w:r>
              <w:t>Target date, what cannot move, and why.</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deadline"/>
                <w:tag w:val="brief.quick.deadline"/>
                <w:lock w:val="sdtLocked"/>
              </w:sdtPr>
              <w:sdtContent>
                <w:r>
                  <w:t xml:space="preserve">{{RISE_BRIEF_QUICK_DEADLINE}}</w:t>
                </w:r>
              </w:sdtContent>
            </w:sdt>
            <w:r>
              <w:br/>
              <w:br/>
            </w:r>
          </w:p>
        </w:tc>
      </w:tr>
      <w:tr>
        <w:trPr>
          <w:cantSplit/>
        </w:trPr>
        <w:tc>
          <w:tcPr>
            <w:tcW w:type="dxa" w:w="345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Decision and acceptance</w:t>
            </w:r>
          </w:p>
          <w:p>
            <w:pPr>
              <w:pStyle w:val="RiseSmall"/>
            </w:pPr>
            <w:r>
              <w:t>Who decides and what evidence confirms that the output can be accepted?</w:t>
            </w:r>
          </w:p>
        </w:tc>
        <w:tc>
          <w:tcPr>
            <w:tcW w:type="dxa" w:w="6179"/>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quick.acceptance"/>
                <w:tag w:val="brief.quick.acceptance"/>
                <w:lock w:val="sdtLocked"/>
              </w:sdtPr>
              <w:sdtContent>
                <w:r>
                  <w:t xml:space="preserve">{{RISE_BRIEF_QUICK_ACCEPTANCE}}</w:t>
                </w:r>
              </w:sdtContent>
            </w:sdt>
            <w:r>
              <w:br/>
              <w:br/>
            </w:r>
          </w:p>
        </w:tc>
      </w:tr>
    </w:tbl>
    <w:tbl>
      <w:tblPr>
        <w:tblW w:type="auto" w:w="0"/>
        <w:tblLook w:firstColumn="1" w:firstRow="1" w:lastColumn="0" w:lastRow="0" w:noHBand="0" w:noVBand="1" w:val="04A0"/>
        <w:jc w:val="center"/>
        <w:tblLayout w:type="fixed"/>
      </w:tblPr>
      <w:tblGrid>
        <w:gridCol w:w="9638"/>
      </w:tblGrid>
      <w:tr>
        <w:tc>
          <w:tcPr>
            <w:tcW w:type="dxa" w:w="9638"/>
            <w:shd w:fill="F1E8CF"/>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Unknown / open</w:t>
            </w:r>
          </w:p>
          <w:p>
            <w:pPr>
              <w:pStyle w:val="RiseSmall"/>
              <w:spacing w:after="0"/>
            </w:pPr>
            <w:r>
              <w:t>An open answer is acceptable when it has an owner and a next step.</w:t>
            </w:r>
          </w:p>
        </w:tc>
      </w:tr>
    </w:tbl>
    <w:p>
      <w:pPr>
        <w:spacing w:after="0"/>
      </w:pPr>
    </w:p>
    <w:p>
      <w:r>
        <w:br w:type="page"/>
      </w:r>
    </w:p>
    <w:p>
      <w:pPr>
        <w:pStyle w:val="Heading1"/>
      </w:pPr>
      <w:r>
        <w:t>3. Full contracting minimum</w:t>
      </w:r>
    </w:p>
    <w:p>
      <w:pPr>
        <w:spacing w:after="140" w:line="252" w:lineRule="auto"/>
      </w:pPr>
      <w:r>
        <w:t>Required sections may later inform scope, acceptance, schedule, and client responsibilities in a proposal or contract.</w:t>
      </w: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3.1 Problem, current process, and evidence</w:t>
            </w:r>
          </w:p>
          <w:p>
            <w:pPr>
              <w:pStyle w:val="RiseSmall"/>
            </w:pPr>
            <w:r>
              <w:t>Describe current steps, a concrete example, volume, frequency, time, errors, cost, and available feedback.</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context"/>
                <w:tag w:val="brief.detail.context"/>
                <w:lock w:val="sdtLocked"/>
              </w:sdtPr>
              <w:sdtContent>
                <w:r>
                  <w:t xml:space="preserve">{{RISE_BRIEF_DETAIL_CONTEXT}}</w:t>
                </w:r>
              </w:sdtContent>
            </w:sdt>
            <w:r>
              <w:br/>
              <w:br/>
              <w:b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3.2 Users and affected people</w:t>
            </w:r>
          </w:p>
          <w:p>
            <w:pPr>
              <w:pStyle w:val="RiseSmall"/>
            </w:pPr>
            <w:r>
              <w:t>Who experiences the problem, uses the output, operates the process, and may be negatively affected by the change?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audiences"/>
                <w:tag w:val="brief.detail.audiences"/>
                <w:lock w:val="sdtLocked"/>
              </w:sdtPr>
              <w:sdtContent>
                <w:r>
                  <w:t xml:space="preserve">{{RISE_BRIEF_DETAIL_AUDIENCES}}</w:t>
                </w:r>
              </w:sdtContent>
            </w:sdt>
            <w:r>
              <w:br/>
              <w:br/>
              <w:b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3.3 Desired outcome and baseline</w:t>
            </w:r>
          </w:p>
          <w:p>
            <w:pPr>
              <w:pStyle w:val="RiseSmall"/>
            </w:pPr>
            <w:r>
              <w:t>State the desired change, current value, target value, measurement source, metric owner, and review date.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goal"/>
                <w:tag w:val="brief.detail.goal"/>
                <w:lock w:val="sdtLocked"/>
              </w:sdtPr>
              <w:sdtContent>
                <w:r>
                  <w:t xml:space="preserve">{{RISE_BRIEF_DETAIL_GOAL}}</w:t>
                </w:r>
              </w:sdtContent>
            </w:sdt>
            <w:r>
              <w:br/>
              <w:br/>
              <w:br/>
              <w:br/>
              <w:br/>
              <w:br/>
              <w:br/>
            </w:r>
          </w:p>
        </w:tc>
      </w:tr>
    </w:tbl>
    <w:p>
      <w:pPr>
        <w:spacing w:after="0" w:before="0"/>
      </w:pPr>
    </w:p>
    <w:p>
      <w:r>
        <w:br w:type="page"/>
      </w:r>
    </w:p>
    <w:p>
      <w:pPr>
        <w:pStyle w:val="Heading1"/>
      </w:pPr>
      <w:r>
        <w:t>3. Full contracting minimum</w:t>
      </w: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3.4 Included and excluded scope</w:t>
            </w:r>
          </w:p>
          <w:p>
            <w:pPr>
              <w:pStyle w:val="RiseSmall"/>
            </w:pPr>
            <w:r>
              <w:t>List included processes, groups, channels, and systems. Explicitly state exclusions and first-stage priorities.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boundaries"/>
                <w:tag w:val="brief.detail.boundaries"/>
                <w:lock w:val="sdtLocked"/>
              </w:sdtPr>
              <w:sdtContent>
                <w:r>
                  <w:t xml:space="preserve">{{RISE_BRIEF_DETAIL_BOUNDARIES}}</w:t>
                </w:r>
              </w:sdtContent>
            </w:sdt>
            <w: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3.5 Deliverables and quality standards</w:t>
            </w:r>
          </w:p>
          <w:p>
            <w:pPr>
              <w:pStyle w:val="RiseSmall"/>
            </w:pPr>
            <w:r>
              <w:t>What will be delivered, in which format, with what documentation, and against which observable quality rules?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deliverables"/>
                <w:tag w:val="brief.detail.deliverables"/>
                <w:lock w:val="sdtLocked"/>
              </w:sdtPr>
              <w:sdtContent>
                <w:r>
                  <w:t xml:space="preserve">{{RISE_BRIEF_DETAIL_DELIVERABLES}}</w:t>
                </w:r>
              </w:sdtContent>
            </w:sdt>
            <w: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3.6 Acceptance criteria and verification</w:t>
            </w:r>
          </w:p>
          <w:p>
            <w:pPr>
              <w:pStyle w:val="RiseSmall"/>
            </w:pPr>
            <w:r>
              <w:t>For every material output, state the acceptance condition, test or review, accountable person, and acceptance date.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acceptance"/>
                <w:tag w:val="brief.detail.acceptance"/>
                <w:lock w:val="sdtLocked"/>
              </w:sdtPr>
              <w:sdtContent>
                <w:r>
                  <w:t xml:space="preserve">{{RISE_BRIEF_DETAIL_ACCEPTANCE}}</w:t>
                </w:r>
              </w:sdtContent>
            </w:sdt>
            <w: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3.7 Budget, timing, and milestones</w:t>
            </w:r>
          </w:p>
          <w:p>
            <w:pPr>
              <w:pStyle w:val="RiseSmall"/>
            </w:pPr>
            <w:r>
              <w:t>State the funding mode, limits, target date, fixed dates, milestone dependencies, and why dates cannot move.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delivery"/>
                <w:tag w:val="brief.detail.delivery"/>
                <w:lock w:val="sdtLocked"/>
              </w:sdtPr>
              <w:sdtContent>
                <w:r>
                  <w:t xml:space="preserve">{{RISE_BRIEF_DETAIL_DELIVERY}}</w:t>
                </w:r>
              </w:sdtContent>
            </w:sdt>
            <w:r>
              <w:br/>
              <w:br/>
              <w:br/>
              <w:br/>
            </w:r>
          </w:p>
        </w:tc>
      </w:tr>
    </w:tbl>
    <w:p>
      <w:pPr>
        <w:spacing w:after="0" w:before="0"/>
      </w:pPr>
    </w:p>
    <w:p>
      <w:r>
        <w:br w:type="page"/>
      </w:r>
    </w:p>
    <w:p>
      <w:pPr>
        <w:pStyle w:val="Heading1"/>
      </w:pPr>
      <w:r>
        <w:t>3. Full contracting minimum</w:t>
      </w: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3.8 Client responsibilities and cooperation</w:t>
            </w:r>
          </w:p>
          <w:p>
            <w:pPr>
              <w:pStyle w:val="RiseSmall"/>
            </w:pPr>
            <w:r>
              <w:t>Who supplies material, access, and data by when? Who is available for consultation, testing, and decisions, and within what time?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collaboration"/>
                <w:tag w:val="brief.detail.collaboration"/>
                <w:lock w:val="sdtLocked"/>
              </w:sdtPr>
              <w:sdtContent>
                <w:r>
                  <w:t xml:space="preserve">{{RISE_BRIEF_DETAIL_COLLABORATION}}</w:t>
                </w:r>
              </w:sdtContent>
            </w:sdt>
            <w:r>
              <w:br/>
              <w:br/>
              <w:b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IMPORTANT  |  </w:t>
            </w:r>
            <w:r>
              <w:rPr>
                <w:rFonts w:ascii="Arial" w:hAnsi="Arial"/>
                <w:b/>
                <w:color w:val="302D27"/>
                <w:sz w:val="18"/>
              </w:rPr>
              <w:t>3.9 Assumptions, dependencies, risks, and open questions</w:t>
            </w:r>
          </w:p>
          <w:p>
            <w:pPr>
              <w:pStyle w:val="RiseSmall"/>
            </w:pPr>
            <w:r>
              <w:t>Separate facts from assumptions. Give every material uncertainty an owner, due date, and evidence needed to close it.</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assumptions"/>
                <w:tag w:val="brief.detail.assumptions"/>
                <w:lock w:val="sdtLocked"/>
              </w:sdtPr>
              <w:sdtContent>
                <w:r>
                  <w:t xml:space="preserve">{{RISE_BRIEF_DETAIL_ASSUMPTIONS}}</w:t>
                </w:r>
              </w:sdtContent>
            </w:sdt>
            <w:r>
              <w:br/>
              <w:br/>
              <w:br/>
              <w:br/>
              <w:b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E8B9"/>
            <w:tcBorders>
              <w:top w:val="single" w:sz="6" w:color="D9D4C8"/>
              <w:left w:val="single" w:sz="18" w:color="DAB549" w:space="0"/>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REQUIRED  |  </w:t>
            </w:r>
            <w:r>
              <w:rPr>
                <w:rFonts w:ascii="Arial" w:hAnsi="Arial"/>
                <w:b/>
                <w:color w:val="302D27"/>
                <w:sz w:val="18"/>
              </w:rPr>
              <w:t>3.10 Scope, timing, or budget changes</w:t>
            </w:r>
          </w:p>
          <w:p>
            <w:pPr>
              <w:pStyle w:val="RiseSmall"/>
            </w:pPr>
            <w:r>
              <w:t>Who may propose a change, who assesses impact, who approves it, and when is the brief, proposal, or contract updated?</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sdt>
              <w:sdtPr>
                <w:alias w:val="brief.detail.change_process"/>
                <w:tag w:val="brief.detail.change_process"/>
                <w:lock w:val="sdtLocked"/>
              </w:sdtPr>
              <w:sdtContent>
                <w:r>
                  <w:t xml:space="preserve">{{RISE_BRIEF_DETAIL_CHANGE_PROCESS}}</w:t>
                </w:r>
              </w:sdtContent>
            </w:sdt>
            <w:r>
              <w:br/>
              <w:br/>
              <w:br/>
              <w:br/>
              <w:br/>
              <w:br/>
              <w:br/>
            </w:r>
          </w:p>
        </w:tc>
      </w:tr>
    </w:tbl>
    <w:p>
      <w:pPr>
        <w:spacing w:after="0" w:before="0"/>
      </w:pPr>
    </w:p>
    <w:p>
      <w:r>
        <w:br w:type="page"/>
      </w:r>
    </w:p>
    <w:p>
      <w:pPr>
        <w:pStyle w:val="Heading1"/>
      </w:pPr>
      <w:r>
        <w:t>4. Requirements and acceptance matrix</w:t>
      </w:r>
    </w:p>
    <w:p>
      <w:pPr>
        <w:spacing w:after="140" w:line="252" w:lineRule="auto"/>
      </w:pPr>
      <w:r>
        <w:t>One row should express one need. It should be unambiguous, feasible, and verifiable. Mark priority as MUST, SHOULD, COULD, or NOT NOW.</w:t>
      </w:r>
    </w:p>
    <w:tbl>
      <w:tblPr>
        <w:tblW w:type="auto" w:w="0"/>
        <w:tblLook w:firstColumn="1" w:firstRow="1" w:lastColumn="0" w:lastRow="0" w:noHBand="0" w:noVBand="1" w:val="04A0"/>
        <w:jc w:val="center"/>
        <w:tblLayout w:type="fixed"/>
      </w:tblPr>
      <w:tblGrid>
        <w:gridCol w:w="1377"/>
        <w:gridCol w:w="1377"/>
        <w:gridCol w:w="1377"/>
        <w:gridCol w:w="1377"/>
        <w:gridCol w:w="1377"/>
        <w:gridCol w:w="1377"/>
        <w:gridCol w:w="1377"/>
      </w:tblGrid>
      <w:tr>
        <w:trPr>
          <w:tblHeader w:val="true"/>
          <w:cantSplit/>
        </w:trPr>
        <w:tc>
          <w:tcPr>
            <w:tcW w:type="dxa" w:w="566"/>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ID</w:t>
            </w:r>
          </w:p>
        </w:tc>
        <w:tc>
          <w:tcPr>
            <w:tcW w:type="dxa" w:w="1020"/>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Priority</w:t>
            </w:r>
          </w:p>
        </w:tc>
        <w:tc>
          <w:tcPr>
            <w:tcW w:type="dxa" w:w="2211"/>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Requirement</w:t>
            </w:r>
          </w:p>
        </w:tc>
        <w:tc>
          <w:tcPr>
            <w:tcW w:type="dxa" w:w="1530"/>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Rationale</w:t>
            </w:r>
          </w:p>
        </w:tc>
        <w:tc>
          <w:tcPr>
            <w:tcW w:type="dxa" w:w="1757"/>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Verification</w:t>
            </w:r>
          </w:p>
        </w:tc>
        <w:tc>
          <w:tcPr>
            <w:tcW w:type="dxa" w:w="963"/>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Status</w:t>
            </w:r>
          </w:p>
        </w:tc>
        <w:tc>
          <w:tcPr>
            <w:tcW w:type="dxa" w:w="1587"/>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Open question</w:t>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R-01</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R-02</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R-03</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R-04</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R-05</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R-06</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R-07</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566"/>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R-08</w:t>
              <w:br/>
              <w:br/>
            </w:r>
          </w:p>
        </w:tc>
        <w:tc>
          <w:tcPr>
            <w:tcW w:type="dxa" w:w="102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21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963"/>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8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bl>
    <w:p>
      <w:r>
        <w:br w:type="page"/>
      </w:r>
    </w:p>
    <w:p>
      <w:pPr>
        <w:pStyle w:val="Heading1"/>
      </w:pPr>
      <w:r>
        <w:t>5. Important delivery and operating conditions</w:t>
      </w:r>
    </w:p>
    <w:p>
      <w:pPr>
        <w:spacing w:after="140" w:line="252" w:lineRule="auto"/>
      </w:pPr>
      <w:r>
        <w:t>These areas often change price, timing, architecture, or responsibility. Mark an item as not applicable when it does not apply.</w:t>
      </w:r>
    </w:p>
    <w:tbl>
      <w:tblPr>
        <w:tblW w:type="auto" w:w="0"/>
        <w:tblLook w:firstColumn="1" w:firstRow="1" w:lastColumn="0" w:lastRow="0" w:noHBand="0" w:noVBand="1" w:val="04A0"/>
        <w:jc w:val="center"/>
        <w:tblLayout w:type="fixed"/>
      </w:tblPr>
      <w:tblGrid>
        <w:gridCol w:w="4819"/>
        <w:gridCol w:w="4819"/>
      </w:tblGrid>
      <w:tr>
        <w:trPr>
          <w:tblHeader w:val="true"/>
          <w:cantSplit/>
        </w:trPr>
        <w:tc>
          <w:tcPr>
            <w:tcW w:type="dxa" w:w="3514"/>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IMPORTANT</w:t>
            </w:r>
          </w:p>
        </w:tc>
        <w:tc>
          <w:tcPr>
            <w:tcW w:type="dxa" w:w="6122"/>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[Click and type your answer]</w:t>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Integrations and external dependencies</w:t>
            </w:r>
          </w:p>
          <w:p>
            <w:pPr>
              <w:pStyle w:val="RiseSmall"/>
            </w:pPr>
            <w:r>
              <w:t>Systems, owners, interfaces, limits, suppliers, and test environment availability.</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integrations"/>
                <w:tag w:val="brief.important.integrations"/>
                <w:lock w:val="sdtLocked"/>
              </w:sdtPr>
              <w:sdtContent>
                <w:r>
                  <w:t xml:space="preserve">{{RISE_BRIEF_IMPORTANT_INTEGRATIONS}}</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Security and access</w:t>
            </w:r>
          </w:p>
          <w:p>
            <w:pPr>
              <w:pStyle w:val="RiseSmall"/>
            </w:pPr>
            <w:r>
              <w:t>Roles, authentication, audit, security rules, penetration testing, and incident reporting.</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security"/>
                <w:tag w:val="brief.important.security"/>
                <w:lock w:val="sdtLocked"/>
              </w:sdtPr>
              <w:sdtContent>
                <w:r>
                  <w:t xml:space="preserve">{{RISE_BRIEF_IMPORTANT_SECURITY}}</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Personal and regulated data</w:t>
            </w:r>
          </w:p>
          <w:p>
            <w:pPr>
              <w:pStyle w:val="RiseSmall"/>
            </w:pPr>
            <w:r>
              <w:t>Data categories, lawful basis, minimisation, transfers, retention, deletion, and accountable people.</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privacy"/>
                <w:tag w:val="brief.important.privacy"/>
                <w:lock w:val="sdtLocked"/>
              </w:sdtPr>
              <w:sdtContent>
                <w:r>
                  <w:t xml:space="preserve">{{RISE_BRIEF_IMPORTANT_PRIVACY}}</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Licences and intellectual property</w:t>
            </w:r>
          </w:p>
          <w:p>
            <w:pPr>
              <w:pStyle w:val="RiseSmall"/>
            </w:pPr>
            <w:r>
              <w:t>Figma files, fonts and licences, source graphics, documents, output ownership, modification rights, and third-party restrictions.</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licensing"/>
                <w:tag w:val="brief.important.licensing"/>
                <w:lock w:val="sdtLocked"/>
              </w:sdtPr>
              <w:sdtContent>
                <w:r>
                  <w:t xml:space="preserve">{{RISE_BRIEF_IMPORTANT_LICENSING}}</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Hosting and environments</w:t>
            </w:r>
          </w:p>
          <w:p>
            <w:pPr>
              <w:pStyle w:val="RiseSmall"/>
            </w:pPr>
            <w:r>
              <w:t>Who provides development, test, and production environments, region, backups, and access rules.</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hosting"/>
                <w:tag w:val="brief.important.hosting"/>
                <w:lock w:val="sdtLocked"/>
              </w:sdtPr>
              <w:sdtContent>
                <w:r>
                  <w:t xml:space="preserve">{{RISE_BRIEF_IMPORTANT_HOSTING}}</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Operations and availability</w:t>
            </w:r>
          </w:p>
          <w:p>
            <w:pPr>
              <w:pStyle w:val="RiseSmall"/>
            </w:pPr>
            <w:r>
              <w:t>Operating hours, acceptable downtime, recovery, monitoring, capacity, and responsibility after launch.</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operations"/>
                <w:tag w:val="brief.important.operations"/>
                <w:lock w:val="sdtLocked"/>
              </w:sdtPr>
              <w:sdtContent>
                <w:r>
                  <w:t xml:space="preserve">{{RISE_BRIEF_IMPORTANT_OPERATIONS}}</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Support and incidents</w:t>
            </w:r>
          </w:p>
          <w:p>
            <w:pPr>
              <w:pStyle w:val="RiseSmall"/>
            </w:pPr>
            <w:r>
              <w:t>Contact point, priorities, response times, escalation, maintenance, and on-call terms.</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support"/>
                <w:tag w:val="brief.important.support"/>
                <w:lock w:val="sdtLocked"/>
              </w:sdtPr>
              <w:sdtContent>
                <w:r>
                  <w:t xml:space="preserve">{{RISE_BRIEF_IMPORTANT_SUPPORT}}</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Handover and exit</w:t>
            </w:r>
          </w:p>
          <w:p>
            <w:pPr>
              <w:pStyle w:val="RiseSmall"/>
            </w:pPr>
            <w:r>
              <w:t>Source files, documentation, accounts, data export, training, handover record, and transition to another supplier.</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handover"/>
                <w:tag w:val="brief.important.handover"/>
                <w:lock w:val="sdtLocked"/>
              </w:sdtPr>
              <w:sdtContent>
                <w:r>
                  <w:t xml:space="preserve">{{RISE_BRIEF_IMPORTANT_HANDOVER}}</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Accessibility, compliance, and mandatory standards</w:t>
            </w:r>
          </w:p>
          <w:p>
            <w:pPr>
              <w:pStyle w:val="RiseSmall"/>
            </w:pPr>
            <w:r>
              <w:t>Applicable rules, target level, verification method, and person who confirms compliance.</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accessibility"/>
                <w:tag w:val="brief.important.accessibility"/>
                <w:lock w:val="sdtLocked"/>
              </w:sdtPr>
              <w:sdtContent>
                <w:r>
                  <w:t xml:space="preserve">{{RISE_BRIEF_IMPORTANT_ACCESSIBILITY}}</w:t>
                </w:r>
              </w:sdtContent>
            </w:sdt>
            <w:r>
              <w:br/>
            </w:r>
          </w:p>
        </w:tc>
      </w:tr>
      <w:tr>
        <w:trPr>
          <w:cantSplit/>
        </w:trPr>
        <w:tc>
          <w:tcPr>
            <w:tcW w:type="dxa" w:w="3514"/>
            <w:shd w:fill="EEEAE1"/>
            <w:tcBorders>
              <w:top w:val="single" w:sz="6" w:color="D9D4C8"/>
              <w:left w:val="single" w:sz="18" w:color="DAB549" w:space="0"/>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Table"/>
            </w:pPr>
            <w:r>
              <w:rPr>
                <w:rFonts w:ascii="Arial" w:hAnsi="Arial"/>
                <w:b/>
                <w:color w:val="302D27"/>
                <w:sz w:val="16"/>
              </w:rPr>
              <w:t>Client team availability</w:t>
            </w:r>
          </w:p>
          <w:p>
            <w:pPr>
              <w:pStyle w:val="RiseSmall"/>
            </w:pPr>
            <w:r>
              <w:t>Names or roles, capacity, planned absence, and maximum time for feedback and decisions.</w:t>
            </w:r>
          </w:p>
        </w:tc>
        <w:tc>
          <w:tcPr>
            <w:tcW w:type="dxa" w:w="6122"/>
            <w:tcBorders>
              <w:top w:val="single" w:sz="6" w:color="D9D4C8"/>
              <w:left w:val="single" w:sz="6" w:color="D9D4C8"/>
              <w:bottom w:val="single" w:sz="6" w:color="D9D4C8"/>
              <w:right w:val="single" w:sz="6" w:color="D9D4C8"/>
              <w:insideH w:val="single" w:sz="6" w:color="D9D4C8"/>
              <w:insideV w:val="single" w:sz="6" w:color="D9D4C8"/>
            </w:tcBorders>
            <w:tcMar>
              <w:top w:w="65" w:type="dxa"/>
              <w:start w:w="100" w:type="dxa"/>
              <w:bottom w:w="65" w:type="dxa"/>
              <w:end w:w="100" w:type="dxa"/>
            </w:tcMar>
          </w:tcPr>
          <w:p>
            <w:pPr>
              <w:pStyle w:val="RiseResponse"/>
            </w:pPr>
            <w:sdt>
              <w:sdtPr>
                <w:alias w:val="brief.important.team_availability"/>
                <w:tag w:val="brief.important.team_availability"/>
                <w:lock w:val="sdtLocked"/>
              </w:sdtPr>
              <w:sdtContent>
                <w:r>
                  <w:t xml:space="preserve">{{RISE_BRIEF_IMPORTANT_TEAM_AVAILABILITY}}</w:t>
                </w:r>
              </w:sdtContent>
            </w:sdt>
            <w:r>
              <w:br/>
            </w:r>
          </w:p>
        </w:tc>
      </w:tr>
    </w:tbl>
    <w:p>
      <w:r>
        <w:br w:type="page"/>
      </w:r>
    </w:p>
    <w:p>
      <w:pPr>
        <w:pStyle w:val="Heading1"/>
      </w:pPr>
      <w:r>
        <w:t>6. Optional modules by project type</w:t>
      </w:r>
    </w:p>
    <w:p>
      <w:pPr>
        <w:spacing w:after="140" w:line="252" w:lineRule="auto"/>
      </w:pPr>
      <w:r>
        <w:t>Complete only relevant modules. A required answer inside a module means it is required when that module is part of the project.</w:t>
      </w:r>
    </w:p>
    <w:tbl>
      <w:tblPr>
        <w:tblW w:type="auto" w:w="0"/>
        <w:tblLook w:firstColumn="1" w:firstRow="1" w:lastColumn="0" w:lastRow="0" w:noHBand="0" w:noVBand="1" w:val="04A0"/>
        <w:jc w:val="center"/>
        <w:tblLayout w:type="fixed"/>
      </w:tblPr>
      <w:tblGrid>
        <w:gridCol w:w="9638"/>
      </w:tblGrid>
      <w:tr>
        <w:tc>
          <w:tcPr>
            <w:tcW w:type="dxa" w:w="9638"/>
            <w:shd w:fill="F1E8CF"/>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OPTIONAL</w:t>
            </w:r>
          </w:p>
          <w:p>
            <w:pPr>
              <w:pStyle w:val="RiseSmall"/>
              <w:spacing w:after="0"/>
            </w:pPr>
            <w:r>
              <w:t>Delete modules that do not apply to the project.</w:t>
            </w:r>
          </w:p>
        </w:tc>
      </w:tr>
    </w:tbl>
    <w:p>
      <w:pPr>
        <w:spacing w:after="0"/>
      </w:pPr>
    </w:p>
    <w:p>
      <w:pPr>
        <w:pStyle w:val="Heading1"/>
      </w:pPr>
      <w:r>
        <w:t>6A. Software and modernisation</w:t>
      </w:r>
    </w:p>
    <w:p>
      <w:pPr>
        <w:spacing w:after="140" w:line="252" w:lineRule="auto"/>
      </w:pPr>
      <w:r>
        <w:t>For a new system, portal, integration, mobile or web app, or changes to an existing solution.</w:t>
      </w:r>
    </w:p>
    <w:p>
      <w:pPr>
        <w:spacing w:after="120"/>
      </w:pPr>
      <w:r>
        <w:rPr>
          <w:rFonts w:ascii="Arial" w:hAnsi="Arial"/>
          <w:b/>
          <w:color w:val="8B6723"/>
          <w:sz w:val="17"/>
        </w:rPr>
        <w:t>☐ OPTIONAL   ☐ Unknown / open   ☐ REQUIRED when included</w:t>
      </w: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Roles and permissions</w:t>
            </w:r>
          </w:p>
          <w:p>
            <w:pPr>
              <w:pStyle w:val="RiseSmall"/>
            </w:pPr>
            <w:r>
              <w:t>Who uses the system and what may each role read, change, approve, or export?</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Main workflow</w:t>
            </w:r>
          </w:p>
          <w:p>
            <w:pPr>
              <w:pStyle w:val="RiseSmall"/>
            </w:pPr>
            <w:r>
              <w:t>Describe the most important process from input to outcome, including exceptions and errors.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Functional boundaries</w:t>
            </w:r>
          </w:p>
          <w:p>
            <w:pPr>
              <w:pStyle w:val="RiseSmall"/>
            </w:pPr>
            <w:r>
              <w:t>What must the system do, what must it not do, and which steps remain outside it?</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Non-functional requirements</w:t>
            </w:r>
          </w:p>
          <w:p>
            <w:pPr>
              <w:pStyle w:val="RiseSmall"/>
            </w:pPr>
            <w:r>
              <w:t>Response time, capacity, availability, compatibility, accessibility, audit, and security.</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Migration and integrations</w:t>
            </w:r>
          </w:p>
          <w:p>
            <w:pPr>
              <w:pStyle w:val="RiseSmall"/>
            </w:pPr>
            <w:r>
              <w:t>Historical data, data quality, mapping, interfaces, owners, and verification method.</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Testing and deployment</w:t>
            </w:r>
          </w:p>
          <w:p>
            <w:pPr>
              <w:pStyle w:val="RiseSmall"/>
            </w:pPr>
            <w:r>
              <w:t>Test scenarios, environments, pilot, rollback, and person authorised to approve launch.</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p>
      <w:r>
        <w:br w:type="page"/>
      </w:r>
    </w:p>
    <w:p>
      <w:pPr>
        <w:pStyle w:val="Heading1"/>
      </w:pPr>
      <w:r>
        <w:t>6B. AI and automation</w:t>
      </w:r>
    </w:p>
    <w:p>
      <w:pPr>
        <w:spacing w:after="140" w:line="252" w:lineRule="auto"/>
      </w:pPr>
      <w:r>
        <w:t>For classification, extraction, generation, recommendation, or an automated decision step.</w:t>
      </w:r>
    </w:p>
    <w:p>
      <w:pPr>
        <w:spacing w:after="120"/>
      </w:pPr>
      <w:r>
        <w:rPr>
          <w:rFonts w:ascii="Arial" w:hAnsi="Arial"/>
          <w:b/>
          <w:color w:val="8B6723"/>
          <w:sz w:val="17"/>
        </w:rPr>
        <w:t>☐ OPTIONAL   ☐ Unknown / open   ☐ REQUIRED when included</w:t>
      </w: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Context of use, task, input, and output</w:t>
            </w:r>
          </w:p>
          <w:p>
            <w:pPr>
              <w:pStyle w:val="RiseSmall"/>
            </w:pPr>
            <w:r>
              <w:t>Who uses AI, in which situation, what exact task it performs, what it receives, and what it returns?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Data source and permission</w:t>
            </w:r>
          </w:p>
          <w:p>
            <w:pPr>
              <w:pStyle w:val="RiseSmall"/>
            </w:pPr>
            <w:r>
              <w:t>Where data comes from, who owns it, for which purpose it may be used, and which licences apply?</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Human review and escalation</w:t>
            </w:r>
          </w:p>
          <w:p>
            <w:pPr>
              <w:pStyle w:val="RiseSmall"/>
            </w:pPr>
            <w:r>
              <w:t>Which outputs a person always reviews, what they may correct, and when they must take over?</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Prohibited uses</w:t>
            </w:r>
          </w:p>
          <w:p>
            <w:pPr>
              <w:pStyle w:val="RiseSmall"/>
            </w:pPr>
            <w:r>
              <w:t>Which people, decisions, data, or situations AI must never process or conclude alone?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Cost of error and safe state</w:t>
            </w:r>
          </w:p>
          <w:p>
            <w:pPr>
              <w:pStyle w:val="RiseSmall"/>
            </w:pPr>
            <w:r>
              <w:t>What a wrong output can cause, how harm is limited, and which fallback process is safe?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Testing and acceptance threshold</w:t>
            </w:r>
          </w:p>
          <w:p>
            <w:pPr>
              <w:pStyle w:val="RiseSmall"/>
            </w:pPr>
            <w:r>
              <w:t>Reference set, measures, segments, failure cases, minimum threshold, and person who approves the result.</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Monitoring and incidents</w:t>
            </w:r>
          </w:p>
          <w:p>
            <w:pPr>
              <w:pStyle w:val="RiseSmall"/>
            </w:pPr>
            <w:r>
              <w:t>Who tracks quality, data change, complaints, and incidents, how often, and to whom they report?</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Shutdown, rollback, and model change</w:t>
            </w:r>
          </w:p>
          <w:p>
            <w:pPr>
              <w:pStyle w:val="RiseSmall"/>
            </w:pPr>
            <w:r>
              <w:t>Who may disable AI, how the process continues without it, and what must be retested after a model change?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p>
      <w:r>
        <w:br w:type="page"/>
      </w:r>
    </w:p>
    <w:p>
      <w:pPr>
        <w:pStyle w:val="Heading1"/>
      </w:pPr>
      <w:r>
        <w:t>6C. UX/UI and product design</w:t>
      </w:r>
    </w:p>
    <w:p>
      <w:pPr>
        <w:spacing w:after="140" w:line="252" w:lineRule="auto"/>
      </w:pPr>
      <w:r>
        <w:t>For designing or improving a digital service, product, website, or workflow.</w:t>
      </w:r>
    </w:p>
    <w:p>
      <w:pPr>
        <w:spacing w:after="120"/>
      </w:pPr>
      <w:r>
        <w:rPr>
          <w:rFonts w:ascii="Arial" w:hAnsi="Arial"/>
          <w:b/>
          <w:color w:val="8B6723"/>
          <w:sz w:val="17"/>
        </w:rPr>
        <w:t>☐ OPTIONAL   ☐ Unknown / open   ☐ REQUIRED when included</w:t>
      </w: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User tasks and needs</w:t>
            </w:r>
          </w:p>
          <w:p>
            <w:pPr>
              <w:pStyle w:val="RiseSmall"/>
            </w:pPr>
            <w:r>
              <w:t>What are people trying to achieve, in which context, and where do they get stuck today?</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Evidence and research</w:t>
            </w:r>
          </w:p>
          <w:p>
            <w:pPr>
              <w:pStyle w:val="RiseSmall"/>
            </w:pPr>
            <w:r>
              <w:t>Observations, interviews, analytics, support data, sample limits, and open questions.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Platforms, states, and content</w:t>
            </w:r>
          </w:p>
          <w:p>
            <w:pPr>
              <w:pStyle w:val="RiseSmall"/>
            </w:pPr>
            <w:r>
              <w:t>Devices, sizes, languages, loading, error, empty states, and content ownership.</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Brand and design system</w:t>
            </w:r>
          </w:p>
          <w:p>
            <w:pPr>
              <w:pStyle w:val="RiseSmall"/>
            </w:pPr>
            <w:r>
              <w:t>Brand guidelines, Figma files, components, source graphics, font licences, mandatory elements, and allowed deviations.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Accessibility and usability</w:t>
            </w:r>
          </w:p>
          <w:p>
            <w:pPr>
              <w:pStyle w:val="RiseSmall"/>
            </w:pPr>
            <w:r>
              <w:t>Target level, assistive technology, test scenario, and success threshold.</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Design handover</w:t>
            </w:r>
          </w:p>
          <w:p>
            <w:pPr>
              <w:pStyle w:val="RiseSmall"/>
            </w:pPr>
            <w:r>
              <w:t>Source format, prototype, specification, tokens, content, implementation review, and ownership.</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p>
      <w:r>
        <w:br w:type="page"/>
      </w:r>
    </w:p>
    <w:p>
      <w:pPr>
        <w:pStyle w:val="Heading1"/>
      </w:pPr>
      <w:r>
        <w:t>6D. Marketing and communications</w:t>
      </w:r>
    </w:p>
    <w:p>
      <w:pPr>
        <w:spacing w:after="140" w:line="252" w:lineRule="auto"/>
      </w:pPr>
      <w:r>
        <w:t>For positioning, campaigns, websites, content, SEO, organic channels, measurement, and reporting.</w:t>
      </w:r>
    </w:p>
    <w:p>
      <w:pPr>
        <w:spacing w:after="120"/>
      </w:pPr>
      <w:r>
        <w:rPr>
          <w:rFonts w:ascii="Arial" w:hAnsi="Arial"/>
          <w:b/>
          <w:color w:val="8B6723"/>
          <w:sz w:val="17"/>
        </w:rPr>
        <w:t>☐ OPTIONAL   ☐ Unknown / open   ☐ REQUIRED when included</w:t>
      </w: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Audience and situation</w:t>
            </w:r>
          </w:p>
          <w:p>
            <w:pPr>
              <w:pStyle w:val="RiseSmall"/>
            </w:pPr>
            <w:r>
              <w:t>Who you need to reach, what they do or believe today, and which barriers prevent action.</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Desired change and action</w:t>
            </w:r>
          </w:p>
          <w:p>
            <w:pPr>
              <w:pStyle w:val="RiseSmall"/>
            </w:pPr>
            <w:r>
              <w:t>What the audience should understand, feel, or do, and within what time.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Baseline and target</w:t>
            </w:r>
          </w:p>
          <w:p>
            <w:pPr>
              <w:pStyle w:val="RiseSmall"/>
            </w:pPr>
            <w:r>
              <w:t>Current visits, enquiries, conversion, awareness, or another measure and target value.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Message, proof, and mandatory elements</w:t>
            </w:r>
          </w:p>
          <w:p>
            <w:pPr>
              <w:pStyle w:val="RiseSmall"/>
            </w:pPr>
            <w:r>
              <w:t>Main claim, evidence, mandatory copy, legal restrictions, and prohibited wording.</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Channels, formats, and material</w:t>
            </w:r>
          </w:p>
          <w:p>
            <w:pPr>
              <w:pStyle w:val="RiseSmall"/>
            </w:pPr>
            <w:r>
              <w:t>Owned and organic channels, third-party service accounts, dimensions, languages, content, images, source graphics, access, and delivery dates.</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Measurement and approval</w:t>
            </w:r>
          </w:p>
          <w:p>
            <w:pPr>
              <w:pStyle w:val="RiseSmall"/>
            </w:pPr>
            <w:r>
              <w:t>Data source, attribution, report, frequency, owner, review process, and final approver.</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p>
      <w:r>
        <w:br w:type="page"/>
      </w:r>
    </w:p>
    <w:p>
      <w:pPr>
        <w:pStyle w:val="Heading1"/>
      </w:pPr>
      <w:r>
        <w:t>6E. Audit, advisory, or another problem</w:t>
      </w:r>
    </w:p>
    <w:p>
      <w:pPr>
        <w:spacing w:after="140" w:line="252" w:lineRule="auto"/>
      </w:pPr>
      <w:r>
        <w:t>For independent assessment, an investment decision, a change plan, or a problem outside the other modules.</w:t>
      </w:r>
    </w:p>
    <w:p>
      <w:pPr>
        <w:spacing w:after="120"/>
      </w:pPr>
      <w:r>
        <w:rPr>
          <w:rFonts w:ascii="Arial" w:hAnsi="Arial"/>
          <w:b/>
          <w:color w:val="8B6723"/>
          <w:sz w:val="17"/>
        </w:rPr>
        <w:t>☐ OPTIONAL   ☐ Unknown / open   ☐ REQUIRED when included</w:t>
      </w: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Decision and main questions</w:t>
            </w:r>
          </w:p>
          <w:p>
            <w:pPr>
              <w:pStyle w:val="RiseSmall"/>
            </w:pPr>
            <w:r>
              <w:t>Which decision should the output support and which questions must it answer?</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Options and assessment criteria</w:t>
            </w:r>
          </w:p>
          <w:p>
            <w:pPr>
              <w:pStyle w:val="RiseSmall"/>
            </w:pPr>
            <w:r>
              <w:t>Which options are being considered and how should they be compared?</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Evidence, access, and boundaries</w:t>
            </w:r>
          </w:p>
          <w:p>
            <w:pPr>
              <w:pStyle w:val="RiseSmall"/>
            </w:pPr>
            <w:r>
              <w:t>Which material, interviews, and systems are available and what must not change?</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Independence and conflicts</w:t>
            </w:r>
          </w:p>
          <w:p>
            <w:pPr>
              <w:pStyle w:val="RiseSmall"/>
            </w:pPr>
            <w:r>
              <w:t>Which relationships, suppliers, or previous decisions may affect impartiality?</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tbl>
      <w:tblPr>
        <w:tblW w:type="auto" w:w="0"/>
        <w:tblLook w:firstColumn="1" w:firstRow="1" w:lastColumn="0" w:lastRow="0" w:noHBand="0" w:noVBand="1" w:val="04A0"/>
        <w:jc w:val="center"/>
        <w:tblLayout w:type="fixed"/>
      </w:tblPr>
      <w:tblGrid>
        <w:gridCol w:w="9638"/>
      </w:tblGrid>
      <w:tr>
        <w:trPr>
          <w:cantSplit/>
        </w:trPr>
        <w:tc>
          <w:tcPr>
            <w:tcW w:type="dxa" w:w="9638"/>
            <w:shd w:fill="F6F4EF"/>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Table"/>
            </w:pPr>
            <w:r>
              <w:rPr>
                <w:rFonts w:ascii="Arial" w:hAnsi="Arial"/>
                <w:b/>
                <w:color w:val="8B6723"/>
                <w:sz w:val="15"/>
              </w:rPr>
              <w:t xml:space="preserve">OPTIONAL  |  </w:t>
            </w:r>
            <w:r>
              <w:rPr>
                <w:rFonts w:ascii="Arial" w:hAnsi="Arial"/>
                <w:b/>
                <w:color w:val="302D27"/>
                <w:sz w:val="18"/>
              </w:rPr>
              <w:t>Output and recommendation</w:t>
            </w:r>
          </w:p>
          <w:p>
            <w:pPr>
              <w:pStyle w:val="RiseSmall"/>
            </w:pPr>
            <w:r>
              <w:t>Format, audience, detail, date, presentation method, and required implementation plan.</w:t>
            </w:r>
          </w:p>
        </w:tc>
      </w:tr>
      <w:tr>
        <w:trPr>
          <w:cantSplit/>
        </w:trPr>
        <w:tc>
          <w:tcPr>
            <w:tcW w:type="dxa" w:w="9638"/>
            <w:tcBorders>
              <w:top w:val="single" w:sz="6" w:color="D9D4C8"/>
              <w:left w:val="single" w:sz="6" w:color="D9D4C8"/>
              <w:bottom w:val="single" w:sz="6" w:color="D9D4C8"/>
              <w:right w:val="single" w:sz="6" w:color="D9D4C8"/>
              <w:insideH w:val="single" w:sz="6" w:color="D9D4C8"/>
              <w:insideV w:val="single" w:sz="6" w:color="D9D4C8"/>
            </w:tcBorders>
            <w:tcMar>
              <w:top w:w="75" w:type="dxa"/>
              <w:start w:w="130" w:type="dxa"/>
              <w:bottom w:w="75" w:type="dxa"/>
              <w:end w:w="130" w:type="dxa"/>
            </w:tcMar>
          </w:tcPr>
          <w:p>
            <w:pPr>
              <w:pStyle w:val="RiseResponse"/>
            </w:pPr>
            <w:r>
              <w:t>Unknown / open</w:t>
            </w:r>
            <w:r>
              <w:br/>
              <w:br/>
            </w:r>
          </w:p>
        </w:tc>
      </w:tr>
    </w:tbl>
    <w:p>
      <w:pPr>
        <w:spacing w:after="0" w:before="0"/>
      </w:pPr>
    </w:p>
    <w:p>
      <w:r>
        <w:br w:type="page"/>
      </w:r>
    </w:p>
    <w:p>
      <w:pPr>
        <w:pStyle w:val="Heading1"/>
      </w:pPr>
      <w:r>
        <w:t>7. Completing the brief with AI</w:t>
      </w:r>
    </w:p>
    <w:p>
      <w:pPr>
        <w:spacing w:after="140" w:line="252" w:lineRule="auto"/>
      </w:pPr>
      <w:r>
        <w:t>At rise.sk/en/project-brief-template, quick choices can prepare a prompt for ChatGPT or Claude. AI should ask one question at a time, separate facts, assumptions, decisions, and open questions, and never invent commitments.</w:t>
      </w:r>
    </w:p>
    <w:tbl>
      <w:tblPr>
        <w:tblW w:type="auto" w:w="0"/>
        <w:tblLook w:firstColumn="1" w:firstRow="1" w:lastColumn="0" w:lastRow="0" w:noHBand="0" w:noVBand="1" w:val="04A0"/>
        <w:jc w:val="center"/>
        <w:tblLayout w:type="fixed"/>
      </w:tblPr>
      <w:tblGrid>
        <w:gridCol w:w="9638"/>
      </w:tblGrid>
      <w:tr>
        <w:tc>
          <w:tcPr>
            <w:tcW w:type="dxa" w:w="9638"/>
            <w:shd w:fill="F6E8B9"/>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Do not include sensitive secrets</w:t>
            </w:r>
          </w:p>
          <w:p>
            <w:pPr>
              <w:pStyle w:val="RiseSmall"/>
              <w:spacing w:after="0"/>
            </w:pPr>
            <w:r>
              <w:t>Do not enter passwords, API keys, full production exports, trade secrets, or identifiable personal data. State only the data category and how the material can later be shared securely. Share Figma designs and graphic assets through an invite to rise@rise.sk and include font licensing details. Grant access to third-party services through role management; never send passwords or API keys.</w:t>
            </w:r>
          </w:p>
        </w:tc>
      </w:tr>
    </w:tbl>
    <w:p>
      <w:pPr>
        <w:spacing w:after="0"/>
      </w:pPr>
    </w:p>
    <w:p>
      <w:pPr>
        <w:spacing w:after="60"/>
        <w:ind w:left="255" w:hanging="198"/>
      </w:pPr>
      <w:r>
        <w:rPr>
          <w:rFonts w:ascii="Arial" w:hAnsi="Arial"/>
          <w:b/>
          <w:color w:val="8B6723"/>
        </w:rPr>
        <w:t xml:space="preserve">•  </w:t>
      </w:r>
      <w:r>
        <w:rPr>
          <w:rFonts w:ascii="Arial" w:hAnsi="Arial"/>
          <w:color w:val="302D27"/>
          <w:sz w:val="18"/>
        </w:rPr>
        <w:t>Download this template and complete at least the quick minimum.</w:t>
      </w:r>
    </w:p>
    <w:p>
      <w:pPr>
        <w:spacing w:after="60"/>
        <w:ind w:left="255" w:hanging="198"/>
      </w:pPr>
      <w:r>
        <w:rPr>
          <w:rFonts w:ascii="Arial" w:hAnsi="Arial"/>
          <w:b/>
          <w:color w:val="8B6723"/>
        </w:rPr>
        <w:t xml:space="preserve">•  </w:t>
      </w:r>
      <w:r>
        <w:rPr>
          <w:rFonts w:ascii="Arial" w:hAnsi="Arial"/>
          <w:color w:val="302D27"/>
          <w:sz w:val="18"/>
        </w:rPr>
        <w:t>On the page, select your quick answers and open ChatGPT or Claude with the prepared button.</w:t>
      </w:r>
    </w:p>
    <w:p>
      <w:pPr>
        <w:spacing w:after="60"/>
        <w:ind w:left="255" w:hanging="198"/>
      </w:pPr>
      <w:r>
        <w:rPr>
          <w:rFonts w:ascii="Arial" w:hAnsi="Arial"/>
          <w:b/>
          <w:color w:val="8B6723"/>
        </w:rPr>
        <w:t xml:space="preserve">•  </w:t>
      </w:r>
      <w:r>
        <w:rPr>
          <w:rFonts w:ascii="Arial" w:hAnsi="Arial"/>
          <w:color w:val="302D27"/>
          <w:sz w:val="18"/>
        </w:rPr>
        <w:t>Paste the copied prompt and attach the document manually.</w:t>
      </w:r>
    </w:p>
    <w:p>
      <w:pPr>
        <w:spacing w:after="60"/>
        <w:ind w:left="255" w:hanging="198"/>
      </w:pPr>
      <w:r>
        <w:rPr>
          <w:rFonts w:ascii="Arial" w:hAnsi="Arial"/>
          <w:b/>
          <w:color w:val="8B6723"/>
        </w:rPr>
        <w:t xml:space="preserve">•  </w:t>
      </w:r>
      <w:r>
        <w:rPr>
          <w:rFonts w:ascii="Arial" w:hAnsi="Arial"/>
          <w:color w:val="302D27"/>
          <w:sz w:val="18"/>
        </w:rPr>
        <w:t>If faster, turn on voice conversation and describe the project in your own words.</w:t>
      </w:r>
    </w:p>
    <w:p>
      <w:pPr>
        <w:spacing w:after="60"/>
        <w:ind w:left="255" w:hanging="198"/>
      </w:pPr>
      <w:r>
        <w:rPr>
          <w:rFonts w:ascii="Arial" w:hAnsi="Arial"/>
          <w:b/>
          <w:color w:val="8B6723"/>
        </w:rPr>
        <w:t xml:space="preserve">•  </w:t>
      </w:r>
      <w:r>
        <w:rPr>
          <w:rFonts w:ascii="Arial" w:hAnsi="Arial"/>
          <w:color w:val="302D27"/>
          <w:sz w:val="18"/>
        </w:rPr>
        <w:t>Before entering confidential information, confirm organisational approval and the service data settings.</w:t>
      </w:r>
    </w:p>
    <w:p>
      <w:pPr>
        <w:spacing w:after="60"/>
        <w:ind w:left="255" w:hanging="198"/>
      </w:pPr>
      <w:r>
        <w:rPr>
          <w:rFonts w:ascii="Arial" w:hAnsi="Arial"/>
          <w:b/>
          <w:color w:val="8B6723"/>
        </w:rPr>
        <w:t xml:space="preserve">•  </w:t>
      </w:r>
      <w:r>
        <w:rPr>
          <w:rFonts w:ascii="Arial" w:hAnsi="Arial"/>
          <w:color w:val="302D27"/>
          <w:sz w:val="18"/>
        </w:rPr>
        <w:t>Have a person review the result. Legal terms and commitments require confirmation by an authorised person.</w:t>
      </w:r>
    </w:p>
    <w:p>
      <w:pPr>
        <w:spacing w:before="120"/>
      </w:pPr>
      <w:hyperlink r:id="rId11">
        <w:r>
          <w:rPr>
            <w:rFonts w:ascii="Arial" w:hAnsi="Arial"/>
            <w:color w:val="8B6723"/>
            <w:u w:val="single"/>
          </w:rPr>
          <w:t>rise.sk/en/project-brief-template</w:t>
        </w:r>
      </w:hyperlink>
    </w:p>
    <w:p>
      <w:r>
        <w:br w:type="page"/>
      </w:r>
    </w:p>
    <w:p>
      <w:pPr>
        <w:pStyle w:val="Heading1"/>
      </w:pPr>
      <w:r>
        <w:t>8. Attachment register</w:t>
      </w:r>
    </w:p>
    <w:p>
      <w:pPr>
        <w:spacing w:after="140" w:line="252" w:lineRule="auto"/>
      </w:pPr>
      <w:r>
        <w:t>Identify every attachment so the parties know which version was used. Explicitly state whether it should form part of the contract. Include Figma files, fonts and licences, source graphics, brand guidelines, documents, and third-party service accounts.</w:t>
      </w:r>
    </w:p>
    <w:tbl>
      <w:tblPr>
        <w:tblW w:type="auto" w:w="0"/>
        <w:tblLook w:firstColumn="1" w:firstRow="1" w:lastColumn="0" w:lastRow="0" w:noHBand="0" w:noVBand="1" w:val="04A0"/>
        <w:jc w:val="center"/>
        <w:tblLayout w:type="fixed"/>
      </w:tblPr>
      <w:tblGrid>
        <w:gridCol w:w="1928"/>
        <w:gridCol w:w="1928"/>
        <w:gridCol w:w="1928"/>
        <w:gridCol w:w="1928"/>
        <w:gridCol w:w="1928"/>
      </w:tblGrid>
      <w:tr>
        <w:trPr>
          <w:tblHeader w:val="true"/>
          <w:cantSplit/>
        </w:trPr>
        <w:tc>
          <w:tcPr>
            <w:tcW w:type="dxa" w:w="2040"/>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Attachment name</w:t>
            </w:r>
          </w:p>
        </w:tc>
        <w:tc>
          <w:tcPr>
            <w:tcW w:type="dxa" w:w="1700"/>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Version and date</w:t>
            </w:r>
          </w:p>
        </w:tc>
        <w:tc>
          <w:tcPr>
            <w:tcW w:type="dxa" w:w="1530"/>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Owner</w:t>
            </w:r>
          </w:p>
        </w:tc>
        <w:tc>
          <w:tcPr>
            <w:tcW w:type="dxa" w:w="2721"/>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Location or delivery method</w:t>
            </w:r>
          </w:p>
        </w:tc>
        <w:tc>
          <w:tcPr>
            <w:tcW w:type="dxa" w:w="1644"/>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Part of contract  yes / no</w:t>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R-01</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R-02</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R-03</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R-04</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R-05</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204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R-06</w:t>
              <w:br/>
              <w:br/>
            </w:r>
          </w:p>
        </w:tc>
        <w:tc>
          <w:tcPr>
            <w:tcW w:type="dxa" w:w="170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530"/>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64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bl>
    <w:p>
      <w:pPr>
        <w:pStyle w:val="Heading1"/>
      </w:pPr>
      <w:r>
        <w:t>9. Review, approval, and change log</w:t>
      </w:r>
    </w:p>
    <w:p>
      <w:pPr>
        <w:spacing w:after="140" w:line="252" w:lineRule="auto"/>
      </w:pPr>
      <w:r>
        <w:t>A signature in this template does not replace contract signature. It only records that the named people reviewed the working version of the brief.</w:t>
      </w:r>
    </w:p>
    <w:tbl>
      <w:tblPr>
        <w:tblW w:type="auto" w:w="0"/>
        <w:tblLook w:firstColumn="1" w:firstRow="1" w:lastColumn="0" w:lastRow="0" w:noHBand="0" w:noVBand="1" w:val="04A0"/>
        <w:jc w:val="center"/>
        <w:tblLayout w:type="fixed"/>
      </w:tblPr>
      <w:tblGrid>
        <w:gridCol w:w="1928"/>
        <w:gridCol w:w="1928"/>
        <w:gridCol w:w="1928"/>
        <w:gridCol w:w="1928"/>
        <w:gridCol w:w="1928"/>
      </w:tblGrid>
      <w:tr>
        <w:trPr>
          <w:tblHeader w:val="true"/>
          <w:cantSplit/>
        </w:trPr>
        <w:tc>
          <w:tcPr>
            <w:tcW w:type="dxa" w:w="1757"/>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Role</w:t>
            </w:r>
          </w:p>
        </w:tc>
        <w:tc>
          <w:tcPr>
            <w:tcW w:type="dxa" w:w="1814"/>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Name</w:t>
            </w:r>
          </w:p>
        </w:tc>
        <w:tc>
          <w:tcPr>
            <w:tcW w:type="dxa" w:w="1927"/>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Decision</w:t>
            </w:r>
          </w:p>
        </w:tc>
        <w:tc>
          <w:tcPr>
            <w:tcW w:type="dxa" w:w="1417"/>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Date</w:t>
            </w:r>
          </w:p>
        </w:tc>
        <w:tc>
          <w:tcPr>
            <w:tcW w:type="dxa" w:w="2721"/>
            <w:shd w:fill="181611"/>
            <w:tcBorders>
              <w:top w:val="single" w:sz="6" w:color="181611"/>
              <w:left w:val="single" w:sz="6" w:color="181611"/>
              <w:bottom w:val="single" w:sz="6" w:color="181611"/>
              <w:right w:val="single" w:sz="6" w:color="181611"/>
              <w:insideH w:val="single" w:sz="6" w:color="181611"/>
              <w:insideV w:val="single" w:sz="6" w:color="181611"/>
            </w:tcBorders>
            <w:tcMar>
              <w:top w:w="70" w:type="dxa"/>
              <w:start w:w="65" w:type="dxa"/>
              <w:bottom w:w="70" w:type="dxa"/>
              <w:end w:w="65" w:type="dxa"/>
            </w:tcMar>
          </w:tcPr>
          <w:p>
            <w:pPr>
              <w:pStyle w:val="RiseTable"/>
            </w:pPr>
            <w:r>
              <w:rPr>
                <w:rFonts w:ascii="Arial" w:hAnsi="Arial"/>
                <w:b/>
                <w:color w:val="FFFFFF"/>
                <w:sz w:val="15"/>
              </w:rPr>
              <w:t>Note</w:t>
            </w:r>
          </w:p>
        </w:tc>
      </w:tr>
      <w:tr>
        <w:trPr>
          <w:cantSplit/>
        </w:trPr>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R-01</w:t>
              <w:br/>
              <w:br/>
            </w:r>
          </w:p>
        </w:tc>
        <w:tc>
          <w:tcPr>
            <w:tcW w:type="dxa" w:w="181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92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41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R-02</w:t>
              <w:br/>
              <w:br/>
            </w:r>
          </w:p>
        </w:tc>
        <w:tc>
          <w:tcPr>
            <w:tcW w:type="dxa" w:w="181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92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41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r>
        <w:trPr>
          <w:cantSplit/>
        </w:trPr>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R-03</w:t>
              <w:br/>
              <w:br/>
            </w:r>
          </w:p>
        </w:tc>
        <w:tc>
          <w:tcPr>
            <w:tcW w:type="dxa" w:w="181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92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141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tcPr>
          <w:p>
            <w:pPr>
              <w:pStyle w:val="RiseResponse"/>
            </w:pPr>
            <w:r>
              <w:t>Unknown / open</w:t>
              <w:br/>
              <w:br/>
            </w:r>
          </w:p>
        </w:tc>
      </w:tr>
      <w:tr>
        <w:trPr>
          <w:cantSplit/>
        </w:trPr>
        <w:tc>
          <w:tcPr>
            <w:tcW w:type="dxa" w:w="175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R-04</w:t>
              <w:br/>
              <w:br/>
            </w:r>
          </w:p>
        </w:tc>
        <w:tc>
          <w:tcPr>
            <w:tcW w:type="dxa" w:w="1814"/>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92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1417"/>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c>
          <w:tcPr>
            <w:tcW w:type="dxa" w:w="2721"/>
            <w:tcBorders>
              <w:top w:val="single" w:sz="6" w:color="D9D4C8"/>
              <w:left w:val="single" w:sz="6" w:color="D9D4C8"/>
              <w:bottom w:val="single" w:sz="6" w:color="D9D4C8"/>
              <w:right w:val="single" w:sz="6" w:color="D9D4C8"/>
              <w:insideH w:val="single" w:sz="6" w:color="D9D4C8"/>
              <w:insideV w:val="single" w:sz="6" w:color="D9D4C8"/>
            </w:tcBorders>
            <w:tcMar>
              <w:top w:w="60" w:type="dxa"/>
              <w:start w:w="55" w:type="dxa"/>
              <w:bottom w:w="60" w:type="dxa"/>
              <w:end w:w="55" w:type="dxa"/>
            </w:tcMar>
            <w:shd w:fill="F6F4EF"/>
          </w:tcPr>
          <w:p>
            <w:pPr>
              <w:pStyle w:val="RiseResponse"/>
            </w:pPr>
            <w:r>
              <w:t>Unknown / open</w:t>
              <w:br/>
              <w:br/>
            </w:r>
          </w:p>
        </w:tc>
      </w:tr>
    </w:tbl>
    <w:p>
      <w:r>
        <w:br w:type="page"/>
      </w:r>
    </w:p>
    <w:p>
      <w:pPr>
        <w:pStyle w:val="Heading1"/>
      </w:pPr>
      <w:r>
        <w:t>Check before sending</w:t>
      </w:r>
    </w:p>
    <w:p>
      <w:pPr>
        <w:spacing w:after="60"/>
        <w:ind w:left="255" w:hanging="198"/>
      </w:pPr>
      <w:r>
        <w:rPr>
          <w:rFonts w:ascii="Arial" w:hAnsi="Arial"/>
          <w:b/>
          <w:color w:val="8B6723"/>
        </w:rPr>
        <w:t xml:space="preserve">•  </w:t>
      </w:r>
      <w:r>
        <w:rPr>
          <w:rFonts w:ascii="Arial" w:hAnsi="Arial"/>
          <w:color w:val="302D27"/>
          <w:sz w:val="18"/>
        </w:rPr>
        <w:t>☐ Every required section has an answer or is marked “unknown / open”.</w:t>
      </w:r>
    </w:p>
    <w:p>
      <w:pPr>
        <w:spacing w:after="60"/>
        <w:ind w:left="255" w:hanging="198"/>
      </w:pPr>
      <w:r>
        <w:rPr>
          <w:rFonts w:ascii="Arial" w:hAnsi="Arial"/>
          <w:b/>
          <w:color w:val="8B6723"/>
        </w:rPr>
        <w:t xml:space="preserve">•  </w:t>
      </w:r>
      <w:r>
        <w:rPr>
          <w:rFonts w:ascii="Arial" w:hAnsi="Arial"/>
          <w:color w:val="302D27"/>
          <w:sz w:val="18"/>
        </w:rPr>
        <w:t>☐ The problem and evidence are clear to someone outside the team.</w:t>
      </w:r>
    </w:p>
    <w:p>
      <w:pPr>
        <w:spacing w:after="60"/>
        <w:ind w:left="255" w:hanging="198"/>
      </w:pPr>
      <w:r>
        <w:rPr>
          <w:rFonts w:ascii="Arial" w:hAnsi="Arial"/>
          <w:b/>
          <w:color w:val="8B6723"/>
        </w:rPr>
        <w:t xml:space="preserve">•  </w:t>
      </w:r>
      <w:r>
        <w:rPr>
          <w:rFonts w:ascii="Arial" w:hAnsi="Arial"/>
          <w:color w:val="302D27"/>
          <w:sz w:val="18"/>
        </w:rPr>
        <w:t>☐ Scope includes included items and explicit exclusions.</w:t>
      </w:r>
    </w:p>
    <w:p>
      <w:pPr>
        <w:spacing w:after="60"/>
        <w:ind w:left="255" w:hanging="198"/>
      </w:pPr>
      <w:r>
        <w:rPr>
          <w:rFonts w:ascii="Arial" w:hAnsi="Arial"/>
          <w:b/>
          <w:color w:val="8B6723"/>
        </w:rPr>
        <w:t xml:space="preserve">•  </w:t>
      </w:r>
      <w:r>
        <w:rPr>
          <w:rFonts w:ascii="Arial" w:hAnsi="Arial"/>
          <w:color w:val="302D27"/>
          <w:sz w:val="18"/>
        </w:rPr>
        <w:t>☐ Material outputs have verifiable acceptance criteria and an owner.</w:t>
      </w:r>
    </w:p>
    <w:p>
      <w:pPr>
        <w:spacing w:after="60"/>
        <w:ind w:left="255" w:hanging="198"/>
      </w:pPr>
      <w:r>
        <w:rPr>
          <w:rFonts w:ascii="Arial" w:hAnsi="Arial"/>
          <w:b/>
          <w:color w:val="8B6723"/>
        </w:rPr>
        <w:t xml:space="preserve">•  </w:t>
      </w:r>
      <w:r>
        <w:rPr>
          <w:rFonts w:ascii="Arial" w:hAnsi="Arial"/>
          <w:color w:val="302D27"/>
          <w:sz w:val="18"/>
        </w:rPr>
        <w:t>☐ Budget, timing, milestones, and client responsibilities are stated.</w:t>
      </w:r>
    </w:p>
    <w:p>
      <w:pPr>
        <w:spacing w:after="60"/>
        <w:ind w:left="255" w:hanging="198"/>
      </w:pPr>
      <w:r>
        <w:rPr>
          <w:rFonts w:ascii="Arial" w:hAnsi="Arial"/>
          <w:b/>
          <w:color w:val="8B6723"/>
        </w:rPr>
        <w:t xml:space="preserve">•  </w:t>
      </w:r>
      <w:r>
        <w:rPr>
          <w:rFonts w:ascii="Arial" w:hAnsi="Arial"/>
          <w:color w:val="302D27"/>
          <w:sz w:val="18"/>
        </w:rPr>
        <w:t>☐ Assumptions, dependencies, risks, and open questions have an owner.</w:t>
      </w:r>
    </w:p>
    <w:p>
      <w:pPr>
        <w:spacing w:after="60"/>
        <w:ind w:left="255" w:hanging="198"/>
      </w:pPr>
      <w:r>
        <w:rPr>
          <w:rFonts w:ascii="Arial" w:hAnsi="Arial"/>
          <w:b/>
          <w:color w:val="8B6723"/>
        </w:rPr>
        <w:t xml:space="preserve">•  </w:t>
      </w:r>
      <w:r>
        <w:rPr>
          <w:rFonts w:ascii="Arial" w:hAnsi="Arial"/>
          <w:color w:val="302D27"/>
          <w:sz w:val="18"/>
        </w:rPr>
        <w:t>☐ The attachment register states the version and contract status of every attachment.</w:t>
      </w:r>
    </w:p>
    <w:p>
      <w:pPr>
        <w:spacing w:after="60"/>
        <w:ind w:left="255" w:hanging="198"/>
      </w:pPr>
      <w:r>
        <w:rPr>
          <w:rFonts w:ascii="Arial" w:hAnsi="Arial"/>
          <w:b/>
          <w:color w:val="8B6723"/>
        </w:rPr>
        <w:t xml:space="preserve">•  </w:t>
      </w:r>
      <w:r>
        <w:rPr>
          <w:rFonts w:ascii="Arial" w:hAnsi="Arial"/>
          <w:color w:val="302D27"/>
          <w:sz w:val="18"/>
        </w:rPr>
        <w:t>☐ Files are sent or shared with rise@rise.sk and third-party services invite this email address.</w:t>
      </w:r>
    </w:p>
    <w:p>
      <w:pPr>
        <w:spacing w:after="60"/>
        <w:ind w:left="255" w:hanging="198"/>
      </w:pPr>
      <w:r>
        <w:rPr>
          <w:rFonts w:ascii="Arial" w:hAnsi="Arial"/>
          <w:b/>
          <w:color w:val="8B6723"/>
        </w:rPr>
        <w:t xml:space="preserve">•  </w:t>
      </w:r>
      <w:r>
        <w:rPr>
          <w:rFonts w:ascii="Arial" w:hAnsi="Arial"/>
          <w:color w:val="302D27"/>
          <w:sz w:val="18"/>
        </w:rPr>
        <w:t>☐ The document contains no passwords, API keys, or unprotected sensitive data.</w:t>
      </w:r>
    </w:p>
    <w:p>
      <w:pPr>
        <w:spacing w:after="60"/>
        <w:ind w:left="255" w:hanging="198"/>
      </w:pPr>
      <w:r>
        <w:rPr>
          <w:rFonts w:ascii="Arial" w:hAnsi="Arial"/>
          <w:b/>
          <w:color w:val="8B6723"/>
        </w:rPr>
        <w:t xml:space="preserve">•  </w:t>
      </w:r>
      <w:r>
        <w:rPr>
          <w:rFonts w:ascii="Arial" w:hAnsi="Arial"/>
          <w:color w:val="302D27"/>
          <w:sz w:val="18"/>
        </w:rPr>
        <w:t>☐ A lawyer reviewed the document if it will become a binding attachment.</w:t>
      </w:r>
    </w:p>
    <w:tbl>
      <w:tblPr>
        <w:tblW w:type="auto" w:w="0"/>
        <w:tblLook w:firstColumn="1" w:firstRow="1" w:lastColumn="0" w:lastRow="0" w:noHBand="0" w:noVBand="1" w:val="04A0"/>
        <w:jc w:val="center"/>
        <w:tblLayout w:type="fixed"/>
      </w:tblPr>
      <w:tblGrid>
        <w:gridCol w:w="9638"/>
      </w:tblGrid>
      <w:tr>
        <w:tc>
          <w:tcPr>
            <w:tcW w:type="dxa" w:w="9638"/>
            <w:shd w:fill="F1E8CF"/>
            <w:tcBorders>
              <w:top w:val="single" w:sz="8" w:color="8B6723"/>
              <w:left w:val="single" w:sz="8" w:color="8B6723"/>
              <w:bottom w:val="single" w:sz="8" w:color="8B6723"/>
              <w:right w:val="single" w:sz="8" w:color="8B6723"/>
              <w:insideH w:val="single" w:sz="8" w:color="8B6723"/>
              <w:insideV w:val="single" w:sz="8" w:color="8B6723"/>
            </w:tcBorders>
            <w:tcMar>
              <w:top w:w="100" w:type="dxa"/>
              <w:start w:w="140" w:type="dxa"/>
              <w:bottom w:w="110" w:type="dxa"/>
              <w:end w:w="140" w:type="dxa"/>
            </w:tcMar>
          </w:tcPr>
          <w:p>
            <w:pPr>
              <w:spacing w:after="40"/>
            </w:pPr>
            <w:r>
              <w:rPr>
                <w:rFonts w:ascii="Arial" w:hAnsi="Arial"/>
                <w:b/>
                <w:color w:val="8B6723"/>
                <w:sz w:val="19"/>
              </w:rPr>
              <w:t>Purpose of this document</w:t>
            </w:r>
          </w:p>
          <w:p>
            <w:pPr>
              <w:pStyle w:val="RiseSmall"/>
              <w:spacing w:after="0"/>
            </w:pPr>
            <w:r>
              <w:t>This brief is an input for assessment, a proposal, and contract preparation. It is not a standalone contract or legal advice. If it will be a contract attachment, identify it by name, version, and date, list it in the attachment register, and have the contract wording reviewed by a lawyer.</w:t>
            </w:r>
          </w:p>
        </w:tc>
      </w:tr>
    </w:tbl>
    <w:p>
      <w:pPr>
        <w:spacing w:after="0"/>
      </w:pPr>
    </w:p>
    <w:p>
      <w:pPr>
        <w:pStyle w:val="Heading1"/>
      </w:pPr>
      <w:r>
        <w:t>Method sources</w:t>
      </w:r>
    </w:p>
    <w:p>
      <w:pPr>
        <w:spacing w:after="140" w:line="252" w:lineRule="auto"/>
      </w:pPr>
      <w:r>
        <w:t>The structure is a synthesis of public professional guidance. We do not copy the source templates. Links were reviewed on 24 July 2026.</w:t>
      </w:r>
    </w:p>
    <w:p>
      <w:pPr>
        <w:spacing w:after="20"/>
      </w:pPr>
      <w:r>
        <w:rPr>
          <w:rFonts w:ascii="Arial" w:hAnsi="Arial"/>
          <w:b/>
          <w:color w:val="8B6723"/>
          <w:sz w:val="16"/>
        </w:rPr>
        <w:t xml:space="preserve">01  </w:t>
      </w:r>
      <w:hyperlink r:id="rId12">
        <w:r>
          <w:rPr>
            <w:rFonts w:ascii="Arial" w:hAnsi="Arial"/>
            <w:color w:val="8B6723"/>
            <w:u w:val="single"/>
          </w:rPr>
          <w:t>GOV.UK Service Manual</w:t>
        </w:r>
      </w:hyperlink>
    </w:p>
    <w:p>
      <w:pPr>
        <w:pStyle w:val="RiseSmall"/>
        <w:ind w:left="454"/>
      </w:pPr>
      <w:r>
        <w:t>User needs, current behaviour, and evidence before choosing a solution.</w:t>
      </w:r>
    </w:p>
    <w:p>
      <w:pPr>
        <w:spacing w:after="20"/>
      </w:pPr>
      <w:r>
        <w:rPr>
          <w:rFonts w:ascii="Arial" w:hAnsi="Arial"/>
          <w:b/>
          <w:color w:val="8B6723"/>
          <w:sz w:val="16"/>
        </w:rPr>
        <w:t xml:space="preserve">02  </w:t>
      </w:r>
      <w:hyperlink r:id="rId13">
        <w:r>
          <w:rPr>
            <w:rFonts w:ascii="Arial" w:hAnsi="Arial"/>
            <w:color w:val="8B6723"/>
            <w:u w:val="single"/>
          </w:rPr>
          <w:t>Atlassian Project Charter</w:t>
        </w:r>
      </w:hyperlink>
    </w:p>
    <w:p>
      <w:pPr>
        <w:pStyle w:val="RiseSmall"/>
        <w:ind w:left="454"/>
      </w:pPr>
      <w:r>
        <w:t>Goals, scope, stakeholders, resources, timing, budget, and risks.</w:t>
      </w:r>
    </w:p>
    <w:p>
      <w:pPr>
        <w:spacing w:after="20"/>
      </w:pPr>
      <w:r>
        <w:rPr>
          <w:rFonts w:ascii="Arial" w:hAnsi="Arial"/>
          <w:b/>
          <w:color w:val="8B6723"/>
          <w:sz w:val="16"/>
        </w:rPr>
        <w:t xml:space="preserve">03  </w:t>
      </w:r>
      <w:hyperlink r:id="rId14">
        <w:r>
          <w:rPr>
            <w:rFonts w:ascii="Arial" w:hAnsi="Arial"/>
            <w:color w:val="8B6723"/>
            <w:u w:val="single"/>
          </w:rPr>
          <w:t>NASA Systems Engineering Handbook</w:t>
        </w:r>
      </w:hyperlink>
    </w:p>
    <w:p>
      <w:pPr>
        <w:pStyle w:val="RiseSmall"/>
        <w:ind w:left="454"/>
      </w:pPr>
      <w:r>
        <w:t>Unambiguous, feasible, and verifiable requirements.</w:t>
      </w:r>
    </w:p>
    <w:p>
      <w:pPr>
        <w:spacing w:after="20"/>
      </w:pPr>
      <w:r>
        <w:rPr>
          <w:rFonts w:ascii="Arial" w:hAnsi="Arial"/>
          <w:b/>
          <w:color w:val="8B6723"/>
          <w:sz w:val="16"/>
        </w:rPr>
        <w:t xml:space="preserve">04  </w:t>
      </w:r>
      <w:hyperlink r:id="rId15">
        <w:r>
          <w:rPr>
            <w:rFonts w:ascii="Arial" w:hAnsi="Arial"/>
            <w:color w:val="8B6723"/>
            <w:u w:val="single"/>
          </w:rPr>
          <w:t>FAR 37.602</w:t>
        </w:r>
      </w:hyperlink>
    </w:p>
    <w:p>
      <w:pPr>
        <w:pStyle w:val="RiseSmall"/>
        <w:ind w:left="454"/>
      </w:pPr>
      <w:r>
        <w:t>Outcomes, measurable performance standards, and assessment.</w:t>
      </w:r>
    </w:p>
    <w:p>
      <w:pPr>
        <w:spacing w:after="20"/>
      </w:pPr>
      <w:r>
        <w:rPr>
          <w:rFonts w:ascii="Arial" w:hAnsi="Arial"/>
          <w:b/>
          <w:color w:val="8B6723"/>
          <w:sz w:val="16"/>
        </w:rPr>
        <w:t xml:space="preserve">05  </w:t>
      </w:r>
      <w:hyperlink r:id="rId16">
        <w:r>
          <w:rPr>
            <w:rFonts w:ascii="Arial" w:hAnsi="Arial"/>
            <w:color w:val="8B6723"/>
            <w:u w:val="single"/>
          </w:rPr>
          <w:t>NIST AI Risk Management Framework</w:t>
        </w:r>
      </w:hyperlink>
    </w:p>
    <w:p>
      <w:pPr>
        <w:pStyle w:val="RiseSmall"/>
        <w:ind w:left="454"/>
      </w:pPr>
      <w:r>
        <w:t>AI context, data, human oversight, testing, monitoring, and failure response.</w:t>
      </w:r>
    </w:p>
    <w:p>
      <w:pPr>
        <w:spacing w:after="20"/>
      </w:pPr>
      <w:r>
        <w:rPr>
          <w:rFonts w:ascii="Arial" w:hAnsi="Arial"/>
          <w:b/>
          <w:color w:val="8B6723"/>
          <w:sz w:val="16"/>
        </w:rPr>
        <w:t xml:space="preserve">06  </w:t>
      </w:r>
      <w:hyperlink r:id="rId17">
        <w:r>
          <w:rPr>
            <w:rFonts w:ascii="Arial" w:hAnsi="Arial"/>
            <w:color w:val="8B6723"/>
            <w:u w:val="single"/>
          </w:rPr>
          <w:t>KRAS Campaign Brief</w:t>
        </w:r>
      </w:hyperlink>
    </w:p>
    <w:p>
      <w:pPr>
        <w:pStyle w:val="RiseSmall"/>
        <w:ind w:left="454"/>
      </w:pPr>
      <w:r>
        <w:t>Baseline, audience, desired change, mandatory elements, budget, and evaluation.</w:t>
      </w:r>
    </w:p>
    <w:p>
      <w:pPr>
        <w:spacing w:after="20"/>
      </w:pPr>
      <w:r>
        <w:rPr>
          <w:rFonts w:ascii="Arial" w:hAnsi="Arial"/>
          <w:b/>
          <w:color w:val="8B6723"/>
          <w:sz w:val="16"/>
        </w:rPr>
        <w:t xml:space="preserve">07  </w:t>
      </w:r>
      <w:hyperlink r:id="rId18">
        <w:r>
          <w:rPr>
            <w:rFonts w:ascii="Arial" w:hAnsi="Arial"/>
            <w:color w:val="8B6723"/>
            <w:u w:val="single"/>
          </w:rPr>
          <w:t>APRSR Brief Guidance</w:t>
        </w:r>
      </w:hyperlink>
    </w:p>
    <w:p>
      <w:pPr>
        <w:pStyle w:val="RiseSmall"/>
        <w:ind w:left="454"/>
      </w:pPr>
      <w:r>
        <w:t>Goals, measurable success, budget, and process information.</w:t>
      </w:r>
    </w:p>
    <w:p>
      <w:pPr>
        <w:spacing w:after="20"/>
      </w:pPr>
      <w:r>
        <w:rPr>
          <w:rFonts w:ascii="Arial" w:hAnsi="Arial"/>
          <w:b/>
          <w:color w:val="8B6723"/>
          <w:sz w:val="16"/>
        </w:rPr>
        <w:t xml:space="preserve">08  </w:t>
      </w:r>
      <w:hyperlink r:id="rId19">
        <w:r>
          <w:rPr>
            <w:rFonts w:ascii="Arial" w:hAnsi="Arial"/>
            <w:color w:val="8B6723"/>
            <w:u w:val="single"/>
          </w:rPr>
          <w:t>OpenAI Data Controls</w:t>
        </w:r>
      </w:hyperlink>
    </w:p>
    <w:p>
      <w:pPr>
        <w:pStyle w:val="RiseSmall"/>
        <w:ind w:left="454"/>
      </w:pPr>
      <w:r>
        <w:t>Settings for content use and data protection in the service.</w:t>
      </w:r>
    </w:p>
    <w:p>
      <w:pPr>
        <w:spacing w:after="20"/>
      </w:pPr>
      <w:r>
        <w:rPr>
          <w:rFonts w:ascii="Arial" w:hAnsi="Arial"/>
          <w:b/>
          <w:color w:val="8B6723"/>
          <w:sz w:val="16"/>
        </w:rPr>
        <w:t xml:space="preserve">09  </w:t>
      </w:r>
      <w:hyperlink r:id="rId20">
        <w:r>
          <w:rPr>
            <w:rFonts w:ascii="Arial" w:hAnsi="Arial"/>
            <w:color w:val="8B6723"/>
            <w:u w:val="single"/>
          </w:rPr>
          <w:t>Anthropic Privacy Guidance</w:t>
        </w:r>
      </w:hyperlink>
    </w:p>
    <w:p>
      <w:pPr>
        <w:pStyle w:val="RiseSmall"/>
        <w:ind w:left="454"/>
      </w:pPr>
      <w:r>
        <w:t>Organisational rules and sensitive data in Claude conversations.</w:t>
      </w:r>
    </w:p>
    <w:p>
      <w:pPr>
        <w:pStyle w:val="Heading1"/>
      </w:pPr>
      <w:r>
        <w:t>How to send the brief</w:t>
      </w:r>
    </w:p>
    <w:p>
      <w:pPr>
        <w:spacing w:after="140" w:line="252" w:lineRule="auto"/>
      </w:pPr>
      <w:r>
        <w:t>Email the file to rise@rise.sk. If you use the contact form, paste a share link into the message. Share Figma files, fonts and licences, source graphics, brand guidelines, documents, and third-party services with rise@rise.sk. Never send passwords or API keys.</w:t>
      </w:r>
    </w:p>
    <w:p>
      <w:hyperlink r:id="rId21">
        <w:r>
          <w:rPr>
            <w:rFonts w:ascii="Arial" w:hAnsi="Arial"/>
            <w:color w:val="8B6723"/>
            <w:u w:val="single"/>
          </w:rPr>
          <w:t>Send the brief by email</w:t>
        </w:r>
      </w:hyperlink>
      <w:r>
        <w:rPr>
          <w:rFonts w:ascii="Arial" w:hAnsi="Arial"/>
          <w:color w:val="D9D4C8"/>
          <w:sz w:val="16"/>
        </w:rPr>
        <w:t xml:space="preserve">   |   </w:t>
      </w:r>
      <w:hyperlink r:id="rId22">
        <w:r>
          <w:rPr>
            <w:rFonts w:ascii="Arial" w:hAnsi="Arial"/>
            <w:color w:val="8B6723"/>
            <w:u w:val="single"/>
          </w:rPr>
          <w:t>Book a consultation</w:t>
        </w:r>
      </w:hyperlink>
    </w:p>
    <w:sectPr w:rsidR="00FC693F" w:rsidRPr="0006063C" w:rsidSect="00034616">
      <w:headerReference w:type="default" r:id="rId9"/>
      <w:footerReference w:type="default" r:id="rId10"/>
      <w:pgSz w:w="11906" w:h="16838"/>
      <w:pgMar w:top="1020"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B665D"/>
        <w:sz w:val="16"/>
      </w:rPr>
      <w:t xml:space="preserve">rise.sk  |  Page </w:t>
    </w:r>
    <w:r>
      <w:rPr>
        <w:rFonts w:ascii="Arial" w:hAnsi="Arial"/>
        <w:color w:val="6B665D"/>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pBdr>
        <w:bottom w:val="single" w:sz="8" w:space="3" w:color="DAB549"/>
      </w:pBdr>
    </w:pPr>
    <w:r>
      <w:rPr>
        <w:rFonts w:ascii="Arial" w:hAnsi="Arial"/>
        <w:b/>
        <w:color w:val="6B665D"/>
        <w:sz w:val="16"/>
      </w:rPr>
      <w:t>rise.sk  |  Project Brief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60" w:line="252" w:lineRule="auto"/>
    </w:pPr>
    <w:rPr>
      <w:rFonts w:ascii="Arial" w:hAnsi="Arial"/>
      <w:b w:val="0"/>
      <w:color w:val="302D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2" w:lineRule="auto"/>
      <w:outlineLvl w:val="0"/>
    </w:pPr>
    <w:rPr>
      <w:rFonts w:asciiTheme="majorHAnsi" w:eastAsiaTheme="majorEastAsia" w:hAnsiTheme="majorHAnsi" w:cstheme="majorBidi" w:ascii="Arial" w:hAnsi="Arial"/>
      <w:b/>
      <w:bCs/>
      <w:color w:val="181611"/>
      <w:sz w:val="34"/>
      <w:szCs w:val="28"/>
    </w:rPr>
  </w:style>
  <w:style w:type="paragraph" w:styleId="Heading2">
    <w:name w:val="heading 2"/>
    <w:basedOn w:val="Normal"/>
    <w:next w:val="Normal"/>
    <w:link w:val="Heading2Char"/>
    <w:uiPriority w:val="9"/>
    <w:unhideWhenUsed/>
    <w:qFormat/>
    <w:rsid w:val="00FC693F"/>
    <w:pPr>
      <w:keepNext/>
      <w:keepLines/>
      <w:spacing w:before="160" w:after="80" w:line="252" w:lineRule="auto"/>
      <w:outlineLvl w:val="1"/>
    </w:pPr>
    <w:rPr>
      <w:rFonts w:asciiTheme="majorHAnsi" w:eastAsiaTheme="majorEastAsia" w:hAnsiTheme="majorHAnsi" w:cstheme="majorBidi" w:ascii="Arial" w:hAnsi="Arial"/>
      <w:b/>
      <w:bCs/>
      <w:color w:val="8B6723"/>
      <w:sz w:val="24"/>
      <w:szCs w:val="26"/>
    </w:rPr>
  </w:style>
  <w:style w:type="paragraph" w:styleId="Heading3">
    <w:name w:val="heading 3"/>
    <w:basedOn w:val="Normal"/>
    <w:next w:val="Normal"/>
    <w:link w:val="Heading3Char"/>
    <w:uiPriority w:val="9"/>
    <w:unhideWhenUsed/>
    <w:qFormat/>
    <w:rsid w:val="00FC693F"/>
    <w:pPr>
      <w:keepNext/>
      <w:keepLines/>
      <w:spacing w:before="100" w:after="40" w:line="252" w:lineRule="auto"/>
      <w:outlineLvl w:val="2"/>
    </w:pPr>
    <w:rPr>
      <w:rFonts w:asciiTheme="majorHAnsi" w:eastAsiaTheme="majorEastAsia" w:hAnsiTheme="majorHAnsi" w:cstheme="majorBidi" w:ascii="Arial" w:hAnsi="Arial"/>
      <w:b/>
      <w:bCs/>
      <w:color w:val="302D2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seSmall">
    <w:name w:val="Rise Small"/>
    <w:pPr>
      <w:keepNext w:val="0"/>
      <w:spacing w:before="0" w:after="40" w:line="240" w:lineRule="auto"/>
    </w:pPr>
    <w:rPr>
      <w:rFonts w:ascii="Arial" w:hAnsi="Arial"/>
      <w:b w:val="0"/>
      <w:color w:val="6B665D"/>
      <w:sz w:val="16"/>
    </w:rPr>
  </w:style>
  <w:style w:type="paragraph" w:customStyle="1" w:styleId="RiseResponse">
    <w:name w:val="Rise Response"/>
    <w:pPr>
      <w:keepNext w:val="0"/>
      <w:spacing w:before="0" w:after="40" w:line="240" w:lineRule="auto"/>
    </w:pPr>
    <w:rPr>
      <w:rFonts w:ascii="Arial" w:hAnsi="Arial"/>
      <w:b w:val="0"/>
      <w:i/>
      <w:color w:val="6B665D"/>
      <w:sz w:val="18"/>
    </w:rPr>
  </w:style>
  <w:style w:type="paragraph" w:customStyle="1" w:styleId="RiseTable">
    <w:name w:val="Rise Table"/>
    <w:pPr>
      <w:keepNext w:val="0"/>
      <w:spacing w:before="0" w:after="0" w:line="240" w:lineRule="auto"/>
    </w:pPr>
    <w:rPr>
      <w:rFonts w:ascii="Arial" w:hAnsi="Arial"/>
      <w:b w:val="0"/>
      <w:color w:val="302D2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ise.sk/en/project-brief-template" TargetMode="External"/><Relationship Id="rId12" Type="http://schemas.openxmlformats.org/officeDocument/2006/relationships/hyperlink" Target="https://www.gov.uk/service-manual/user-research/start-by-learning-user-needs" TargetMode="External"/><Relationship Id="rId13" Type="http://schemas.openxmlformats.org/officeDocument/2006/relationships/hyperlink" Target="https://www.atlassian.com/software/confluence/templates/project-charter" TargetMode="External"/><Relationship Id="rId14" Type="http://schemas.openxmlformats.org/officeDocument/2006/relationships/hyperlink" Target="https://www.nasa.gov/reference/system-engineering-handbook-appendix/" TargetMode="External"/><Relationship Id="rId15" Type="http://schemas.openxmlformats.org/officeDocument/2006/relationships/hyperlink" Target="https://www.acquisition.gov/far/37.602" TargetMode="External"/><Relationship Id="rId16" Type="http://schemas.openxmlformats.org/officeDocument/2006/relationships/hyperlink" Target="https://airc.nist.gov/airmf-resources/airmf/5-sec-core/" TargetMode="External"/><Relationship Id="rId17" Type="http://schemas.openxmlformats.org/officeDocument/2006/relationships/hyperlink" Target="https://ferovytender.sk/pdf/KRAS_Kampan_Brief.pdf" TargetMode="External"/><Relationship Id="rId18" Type="http://schemas.openxmlformats.org/officeDocument/2006/relationships/hyperlink" Target="https://asociaciapr.sk/ako-by-mal-vyzerat-spravny-brief/" TargetMode="External"/><Relationship Id="rId19" Type="http://schemas.openxmlformats.org/officeDocument/2006/relationships/hyperlink" Target="https://help.openai.com/en/articles/7039943-how-your-data-is-used-to-improve-model-performance" TargetMode="External"/><Relationship Id="rId20" Type="http://schemas.openxmlformats.org/officeDocument/2006/relationships/hyperlink" Target="https://support.claude.com/en/articles/8325621-i-would-like-to-input-sensitive-data-into-my-chats-with-claude-who-can-view-my-conversations" TargetMode="External"/><Relationship Id="rId21" Type="http://schemas.openxmlformats.org/officeDocument/2006/relationships/hyperlink" Target="mailto:rise@rise.sk?subject=Project%20brief%20for%20Rise.sk" TargetMode="External"/><Relationship Id="rId22" Type="http://schemas.openxmlformats.org/officeDocument/2006/relationships/hyperlink" Target="https://rise.sk/en/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dc:identifier/>
  <dc:language/>
  <cp:version/>
</cp:coreProperties>
</file>